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5D699" w14:textId="77777777" w:rsidR="004C7BDF" w:rsidRDefault="004C7BDF" w:rsidP="00713EFE">
      <w:pPr>
        <w:pStyle w:val="Zkladntext"/>
        <w:spacing w:after="192"/>
        <w:jc w:val="left"/>
        <w:rPr>
          <w:sz w:val="28"/>
          <w:szCs w:val="28"/>
          <w:lang w:val="cs-CZ"/>
        </w:rPr>
      </w:pPr>
    </w:p>
    <w:p w14:paraId="002660EF" w14:textId="275EBCD8" w:rsidR="002132CC" w:rsidRPr="00BA736B" w:rsidRDefault="002132CC" w:rsidP="00713EFE">
      <w:pPr>
        <w:pStyle w:val="Zkladntext"/>
        <w:spacing w:after="192"/>
        <w:jc w:val="left"/>
        <w:rPr>
          <w:sz w:val="28"/>
          <w:szCs w:val="28"/>
          <w:lang w:val="cs-CZ"/>
        </w:rPr>
      </w:pPr>
      <w:r w:rsidRPr="00BA736B">
        <w:rPr>
          <w:sz w:val="28"/>
          <w:szCs w:val="28"/>
          <w:lang w:val="cs-CZ"/>
        </w:rPr>
        <w:t xml:space="preserve">TISKOVÁ </w:t>
      </w:r>
      <w:r w:rsidR="0058190E">
        <w:rPr>
          <w:sz w:val="28"/>
          <w:szCs w:val="28"/>
          <w:lang w:val="cs-CZ"/>
        </w:rPr>
        <w:t>ZPRÁVA</w:t>
      </w:r>
      <w:r w:rsidRPr="00BA736B">
        <w:rPr>
          <w:sz w:val="28"/>
          <w:szCs w:val="28"/>
          <w:lang w:val="cs-CZ"/>
        </w:rPr>
        <w:tab/>
      </w:r>
      <w:r w:rsidRPr="00BA736B">
        <w:rPr>
          <w:sz w:val="28"/>
          <w:szCs w:val="28"/>
          <w:lang w:val="cs-CZ"/>
        </w:rPr>
        <w:tab/>
      </w:r>
      <w:r w:rsidRPr="00BA736B">
        <w:rPr>
          <w:sz w:val="28"/>
          <w:szCs w:val="28"/>
          <w:lang w:val="cs-CZ"/>
        </w:rPr>
        <w:tab/>
      </w:r>
      <w:r w:rsidRPr="00BA736B">
        <w:rPr>
          <w:sz w:val="28"/>
          <w:szCs w:val="28"/>
          <w:lang w:val="cs-CZ"/>
        </w:rPr>
        <w:tab/>
      </w:r>
      <w:r w:rsidRPr="00BA736B">
        <w:rPr>
          <w:sz w:val="28"/>
          <w:szCs w:val="28"/>
          <w:lang w:val="cs-CZ"/>
        </w:rPr>
        <w:tab/>
      </w:r>
      <w:r w:rsidRPr="00BA736B">
        <w:rPr>
          <w:sz w:val="28"/>
          <w:szCs w:val="28"/>
          <w:lang w:val="cs-CZ"/>
        </w:rPr>
        <w:tab/>
      </w:r>
      <w:r w:rsidR="00AF0FC0">
        <w:rPr>
          <w:sz w:val="28"/>
          <w:szCs w:val="28"/>
          <w:lang w:val="cs-CZ"/>
        </w:rPr>
        <w:t>01</w:t>
      </w:r>
      <w:r w:rsidR="0098607C">
        <w:rPr>
          <w:sz w:val="28"/>
          <w:szCs w:val="28"/>
          <w:lang w:val="cs-CZ"/>
        </w:rPr>
        <w:t xml:space="preserve">. </w:t>
      </w:r>
      <w:r w:rsidR="0058190E">
        <w:rPr>
          <w:sz w:val="28"/>
          <w:szCs w:val="28"/>
          <w:lang w:val="cs-CZ"/>
        </w:rPr>
        <w:t>11</w:t>
      </w:r>
      <w:r w:rsidR="0098607C">
        <w:rPr>
          <w:sz w:val="28"/>
          <w:szCs w:val="28"/>
          <w:lang w:val="cs-CZ"/>
        </w:rPr>
        <w:t>. 202</w:t>
      </w:r>
      <w:r w:rsidR="005C36C0">
        <w:rPr>
          <w:sz w:val="28"/>
          <w:szCs w:val="28"/>
          <w:lang w:val="cs-CZ"/>
        </w:rPr>
        <w:t>1</w:t>
      </w:r>
    </w:p>
    <w:p w14:paraId="5B6170E3" w14:textId="77777777" w:rsidR="009C3377" w:rsidRPr="00BA736B" w:rsidRDefault="009C3377" w:rsidP="001376E7">
      <w:pPr>
        <w:pStyle w:val="Bezmezer"/>
        <w:spacing w:after="192"/>
      </w:pPr>
    </w:p>
    <w:p w14:paraId="3E7B0D70" w14:textId="77777777" w:rsidR="00515F7E" w:rsidRPr="00515F7E" w:rsidRDefault="00515F7E" w:rsidP="00515F7E">
      <w:pPr>
        <w:spacing w:afterLines="60" w:after="144"/>
        <w:ind w:left="360"/>
        <w:jc w:val="center"/>
        <w:rPr>
          <w:b/>
          <w:bCs/>
          <w:sz w:val="32"/>
          <w:szCs w:val="32"/>
        </w:rPr>
      </w:pPr>
      <w:r w:rsidRPr="00515F7E">
        <w:rPr>
          <w:b/>
          <w:bCs/>
          <w:sz w:val="32"/>
          <w:szCs w:val="32"/>
        </w:rPr>
        <w:t>Studie Accenture Reaching Net Zero by 2050: nejzodpovědněji se k nulovým emisím staví ve Velké Británii, Německu a Francii</w:t>
      </w:r>
    </w:p>
    <w:p w14:paraId="71FC802F" w14:textId="77777777" w:rsidR="00515F7E" w:rsidRDefault="00515F7E" w:rsidP="00515F7E">
      <w:pPr>
        <w:spacing w:afterLines="60" w:after="144"/>
        <w:ind w:left="360"/>
        <w:rPr>
          <w:b/>
          <w:bCs/>
          <w:sz w:val="24"/>
          <w:szCs w:val="24"/>
        </w:rPr>
      </w:pPr>
    </w:p>
    <w:p w14:paraId="079AD1D3" w14:textId="77777777" w:rsidR="00515F7E" w:rsidRPr="00B658AD" w:rsidRDefault="00515F7E" w:rsidP="00515F7E">
      <w:pPr>
        <w:spacing w:after="192" w:line="240" w:lineRule="auto"/>
        <w:rPr>
          <w:b/>
          <w:bCs/>
        </w:rPr>
      </w:pPr>
      <w:r w:rsidRPr="00B658AD">
        <w:rPr>
          <w:b/>
          <w:bCs/>
        </w:rPr>
        <w:t xml:space="preserve">Podle nové studie společnosti Accenture </w:t>
      </w:r>
      <w:hyperlink r:id="rId8" w:history="1">
        <w:r w:rsidRPr="00B658AD">
          <w:rPr>
            <w:rStyle w:val="Hypertextovodkaz"/>
            <w:b/>
            <w:bCs/>
            <w:shd w:val="clear" w:color="auto" w:fill="FFFFFF"/>
            <w:lang w:val="en-US"/>
          </w:rPr>
          <w:t>Reaching Net Zero by 2050</w:t>
        </w:r>
      </w:hyperlink>
      <w:r w:rsidRPr="00B658AD">
        <w:rPr>
          <w:b/>
          <w:bCs/>
        </w:rPr>
        <w:t xml:space="preserve"> se firmy v posledních dvou letech častěji zavazovaly k dosažení čistých nulových emisí, téměř třetina (30 %) největších společností kótovaných na evropských burzách přislíbila dosáhnout čistých nulových emisí do roku 2050.</w:t>
      </w:r>
      <w:r>
        <w:rPr>
          <w:b/>
          <w:bCs/>
        </w:rPr>
        <w:t xml:space="preserve">  </w:t>
      </w:r>
      <w:r w:rsidRPr="00111D49">
        <w:rPr>
          <w:b/>
          <w:bCs/>
        </w:rPr>
        <w:t>Nejčastěji si konkrétní cílový rok pro dosažení čistých nulových emisí ve všech</w:t>
      </w:r>
      <w:r>
        <w:rPr>
          <w:b/>
          <w:bCs/>
        </w:rPr>
        <w:t xml:space="preserve"> třech</w:t>
      </w:r>
      <w:r w:rsidRPr="00111D49">
        <w:rPr>
          <w:b/>
          <w:bCs/>
        </w:rPr>
        <w:t xml:space="preserve"> kategoriích </w:t>
      </w:r>
      <w:r>
        <w:rPr>
          <w:b/>
          <w:bCs/>
        </w:rPr>
        <w:t>- přímé emise, nepřímé emise související s nákupem energií a ostatní nepřímé emise -</w:t>
      </w:r>
      <w:r w:rsidRPr="00111D49">
        <w:rPr>
          <w:b/>
          <w:bCs/>
        </w:rPr>
        <w:t xml:space="preserve"> stanovily společnosti kótované na britských burzách</w:t>
      </w:r>
      <w:r>
        <w:rPr>
          <w:b/>
          <w:bCs/>
        </w:rPr>
        <w:t>,</w:t>
      </w:r>
      <w:r w:rsidRPr="00111D49">
        <w:rPr>
          <w:b/>
          <w:bCs/>
        </w:rPr>
        <w:t xml:space="preserve"> bylo to celkem 37 % z</w:t>
      </w:r>
      <w:r>
        <w:rPr>
          <w:b/>
          <w:bCs/>
        </w:rPr>
        <w:t> </w:t>
      </w:r>
      <w:r w:rsidRPr="00111D49">
        <w:rPr>
          <w:b/>
          <w:bCs/>
        </w:rPr>
        <w:t>nich</w:t>
      </w:r>
      <w:r>
        <w:rPr>
          <w:b/>
          <w:bCs/>
        </w:rPr>
        <w:t>.</w:t>
      </w:r>
      <w:r w:rsidRPr="00111D49">
        <w:rPr>
          <w:b/>
          <w:bCs/>
        </w:rPr>
        <w:t xml:space="preserve"> </w:t>
      </w:r>
      <w:r>
        <w:rPr>
          <w:b/>
          <w:bCs/>
        </w:rPr>
        <w:t>Dále pak společnosti v</w:t>
      </w:r>
      <w:r w:rsidRPr="00111D49">
        <w:rPr>
          <w:b/>
          <w:bCs/>
        </w:rPr>
        <w:t xml:space="preserve"> Německu </w:t>
      </w:r>
      <w:r>
        <w:rPr>
          <w:b/>
          <w:bCs/>
        </w:rPr>
        <w:t>(</w:t>
      </w:r>
      <w:r w:rsidRPr="00111D49">
        <w:rPr>
          <w:b/>
          <w:bCs/>
        </w:rPr>
        <w:t>27 %</w:t>
      </w:r>
      <w:r>
        <w:rPr>
          <w:b/>
          <w:bCs/>
        </w:rPr>
        <w:t>)</w:t>
      </w:r>
      <w:r w:rsidRPr="00111D49">
        <w:rPr>
          <w:b/>
          <w:bCs/>
        </w:rPr>
        <w:t xml:space="preserve"> a ve Francii </w:t>
      </w:r>
      <w:r>
        <w:rPr>
          <w:b/>
          <w:bCs/>
        </w:rPr>
        <w:t>(</w:t>
      </w:r>
      <w:r w:rsidRPr="00111D49">
        <w:rPr>
          <w:b/>
          <w:bCs/>
        </w:rPr>
        <w:t>18 %</w:t>
      </w:r>
      <w:r>
        <w:rPr>
          <w:b/>
          <w:bCs/>
        </w:rPr>
        <w:t>).</w:t>
      </w:r>
    </w:p>
    <w:p w14:paraId="400ABF7E" w14:textId="77777777" w:rsidR="00515F7E" w:rsidRDefault="00515F7E" w:rsidP="00515F7E">
      <w:pPr>
        <w:spacing w:after="192" w:line="240" w:lineRule="auto"/>
      </w:pPr>
      <w:r>
        <w:t>Studie</w:t>
      </w:r>
      <w:r w:rsidRPr="002F1FFA">
        <w:t xml:space="preserve"> </w:t>
      </w:r>
      <w:r>
        <w:t>analyzov</w:t>
      </w:r>
      <w:r w:rsidRPr="002F1FFA">
        <w:t xml:space="preserve">ala údaje více než 1 000 </w:t>
      </w:r>
      <w:r>
        <w:t>společností napříč</w:t>
      </w:r>
      <w:r w:rsidRPr="002F1FFA">
        <w:t xml:space="preserve"> hlavní</w:t>
      </w:r>
      <w:r>
        <w:t>mi evro</w:t>
      </w:r>
      <w:r w:rsidRPr="002F1FFA">
        <w:t>pský</w:t>
      </w:r>
      <w:r>
        <w:t xml:space="preserve">mi </w:t>
      </w:r>
      <w:r w:rsidRPr="002F1FFA">
        <w:t>akciový</w:t>
      </w:r>
      <w:r>
        <w:t>mi indexy a </w:t>
      </w:r>
      <w:r w:rsidRPr="002F1FFA">
        <w:t xml:space="preserve">zjistila, že stanovení cílů pomáhá urychlit přechod k </w:t>
      </w:r>
      <w:r>
        <w:t xml:space="preserve">čistým </w:t>
      </w:r>
      <w:r w:rsidRPr="002F1FFA">
        <w:t xml:space="preserve">nulovým emisím, tj. k situaci, kdy </w:t>
      </w:r>
      <w:r>
        <w:t>firma</w:t>
      </w:r>
      <w:r w:rsidRPr="002F1FFA">
        <w:t xml:space="preserve"> sníží emise </w:t>
      </w:r>
      <w:r w:rsidRPr="00C1435D">
        <w:rPr>
          <w:color w:val="000000"/>
          <w:shd w:val="clear" w:color="auto" w:fill="FFFFFF"/>
        </w:rPr>
        <w:t>CO</w:t>
      </w:r>
      <w:r w:rsidRPr="00C1435D">
        <w:rPr>
          <w:color w:val="000000"/>
          <w:shd w:val="clear" w:color="auto" w:fill="FFFFFF"/>
          <w:vertAlign w:val="subscript"/>
        </w:rPr>
        <w:t>2</w:t>
      </w:r>
      <w:r>
        <w:rPr>
          <w:color w:val="000000"/>
          <w:shd w:val="clear" w:color="auto" w:fill="FFFFFF"/>
          <w:vertAlign w:val="subscript"/>
        </w:rPr>
        <w:t xml:space="preserve"> </w:t>
      </w:r>
      <w:r w:rsidRPr="002F1FFA">
        <w:t>a dal</w:t>
      </w:r>
      <w:r>
        <w:t xml:space="preserve">ších skleníkových plynů na nulu, případně </w:t>
      </w:r>
      <w:r w:rsidRPr="002F1FFA">
        <w:t>zby</w:t>
      </w:r>
      <w:r>
        <w:t>lou část</w:t>
      </w:r>
      <w:r w:rsidRPr="002F1FFA">
        <w:t xml:space="preserve"> kompenzuje</w:t>
      </w:r>
      <w:r>
        <w:t xml:space="preserve"> tak</w:t>
      </w:r>
      <w:r w:rsidRPr="002F1FFA">
        <w:t>, aby dosáhla rovnováhy mezi množstvím emisí</w:t>
      </w:r>
      <w:r>
        <w:t xml:space="preserve">, které do atmosféry vypustí a množstvím, které z ní naopak odstraní. </w:t>
      </w:r>
    </w:p>
    <w:p w14:paraId="61A71850" w14:textId="77777777" w:rsidR="00515F7E" w:rsidRDefault="00515F7E" w:rsidP="00515F7E">
      <w:pPr>
        <w:spacing w:after="192" w:line="240" w:lineRule="auto"/>
      </w:pPr>
      <w:r w:rsidRPr="003C280E">
        <w:t>„Společnosti, které si za cíl určily dosažení této čisté nuly, snížily za posledních deset let množství emisí v průměru o 10 %. Naopak u firem, které si žádné cíle nestanovily, emise rostly,“ říká Karel Kotoun, Senior Manager v oblasti finančních služeb ve společnosti Accenture.</w:t>
      </w:r>
    </w:p>
    <w:p w14:paraId="63A8E4D0" w14:textId="77777777" w:rsidR="00515F7E" w:rsidRPr="00C1435D" w:rsidRDefault="00515F7E" w:rsidP="00515F7E">
      <w:pPr>
        <w:spacing w:after="192" w:line="240" w:lineRule="auto"/>
      </w:pPr>
      <w:r>
        <w:t xml:space="preserve">V průměru si </w:t>
      </w:r>
      <w:r w:rsidRPr="00412248">
        <w:t xml:space="preserve">evropské společnosti zahrnuté do studie </w:t>
      </w:r>
      <w:r>
        <w:t xml:space="preserve">určují jako svůj </w:t>
      </w:r>
      <w:r w:rsidRPr="00412248">
        <w:t xml:space="preserve">cílový rok </w:t>
      </w:r>
      <w:r>
        <w:t>pro čisté nulové emise</w:t>
      </w:r>
      <w:r w:rsidRPr="00412248">
        <w:t xml:space="preserve"> </w:t>
      </w:r>
      <w:r>
        <w:t xml:space="preserve">rok 2043. </w:t>
      </w:r>
      <w:r w:rsidRPr="00E65068">
        <w:t xml:space="preserve">Mnoho společností z odvětví náročných na uhlíkové emise jako je ropný, plynárenský nebo chemický průmysl, si svůj cíl stanovilo </w:t>
      </w:r>
      <w:r>
        <w:t>někde okolo</w:t>
      </w:r>
      <w:r w:rsidRPr="00E65068">
        <w:t xml:space="preserve"> rok</w:t>
      </w:r>
      <w:r>
        <w:t>u</w:t>
      </w:r>
      <w:r w:rsidRPr="00E65068">
        <w:t xml:space="preserve"> 2050</w:t>
      </w:r>
      <w:r>
        <w:t xml:space="preserve"> nebo přímo na rok 2050. Naopak v odvětví služeb firmy</w:t>
      </w:r>
      <w:r w:rsidRPr="00412248">
        <w:t xml:space="preserve"> cíl</w:t>
      </w:r>
      <w:r>
        <w:t>í zhruba na</w:t>
      </w:r>
      <w:r w:rsidRPr="00412248">
        <w:t xml:space="preserve"> rok 2035.</w:t>
      </w:r>
    </w:p>
    <w:p w14:paraId="0EB2F700" w14:textId="77777777" w:rsidR="00515F7E" w:rsidRDefault="00515F7E" w:rsidP="00515F7E">
      <w:pPr>
        <w:spacing w:after="192" w:line="240" w:lineRule="auto"/>
      </w:pPr>
      <w:r>
        <w:t>„</w:t>
      </w:r>
      <w:r w:rsidRPr="001B21CF">
        <w:t xml:space="preserve">Evropská podnikatelská komunita se do závodu </w:t>
      </w:r>
      <w:r>
        <w:t>o</w:t>
      </w:r>
      <w:r w:rsidRPr="001B21CF">
        <w:t xml:space="preserve"> dosažení nul</w:t>
      </w:r>
      <w:r>
        <w:t>ových čistých emisí</w:t>
      </w:r>
      <w:r w:rsidRPr="001B21CF">
        <w:t xml:space="preserve"> zapojuje více než kdy jindy a počet společností, které si </w:t>
      </w:r>
      <w:r>
        <w:t xml:space="preserve">v této oblasti </w:t>
      </w:r>
      <w:r w:rsidRPr="001B21CF">
        <w:t>veřejně stanovily cíle, se za poslední dva roky zvýšil,</w:t>
      </w:r>
      <w:r>
        <w:t>“</w:t>
      </w:r>
      <w:r w:rsidRPr="001B21CF">
        <w:t xml:space="preserve"> uv</w:t>
      </w:r>
      <w:r>
        <w:t>ádí</w:t>
      </w:r>
      <w:r w:rsidRPr="001B21CF">
        <w:t xml:space="preserve"> Jean-Marc Ollagnier, generální ředitel s</w:t>
      </w:r>
      <w:r>
        <w:t>polečnosti Accenture v Evropě. „</w:t>
      </w:r>
      <w:r w:rsidRPr="001B21CF">
        <w:t>A jak ukazuje naše studie,</w:t>
      </w:r>
      <w:r>
        <w:t xml:space="preserve"> stanovení</w:t>
      </w:r>
      <w:r w:rsidRPr="001B21CF">
        <w:t xml:space="preserve"> cíl</w:t>
      </w:r>
      <w:r>
        <w:t>ů</w:t>
      </w:r>
      <w:r w:rsidRPr="001B21CF">
        <w:t xml:space="preserve"> funguj</w:t>
      </w:r>
      <w:r>
        <w:t>e</w:t>
      </w:r>
      <w:r w:rsidRPr="001B21CF">
        <w:t xml:space="preserve">. </w:t>
      </w:r>
      <w:r>
        <w:t>Nulové emise</w:t>
      </w:r>
      <w:r w:rsidRPr="001B21CF">
        <w:t xml:space="preserve"> </w:t>
      </w:r>
      <w:r>
        <w:t>je třeba řídit</w:t>
      </w:r>
      <w:r w:rsidRPr="001B21CF">
        <w:t xml:space="preserve"> jako každ</w:t>
      </w:r>
      <w:r>
        <w:t>ou</w:t>
      </w:r>
      <w:r w:rsidRPr="001B21CF">
        <w:t xml:space="preserve"> </w:t>
      </w:r>
      <w:r>
        <w:t xml:space="preserve">jinou </w:t>
      </w:r>
      <w:r w:rsidRPr="001B21CF">
        <w:t>strategick</w:t>
      </w:r>
      <w:r>
        <w:t>ou</w:t>
      </w:r>
      <w:r w:rsidRPr="001B21CF">
        <w:t xml:space="preserve"> priorit</w:t>
      </w:r>
      <w:r>
        <w:t>u podniku</w:t>
      </w:r>
      <w:r w:rsidRPr="001B21CF">
        <w:t>: stanovit jasné cíle</w:t>
      </w:r>
      <w:r>
        <w:t xml:space="preserve">, které celou organizaci povedou </w:t>
      </w:r>
      <w:r w:rsidRPr="001B21CF">
        <w:t>stejným směr</w:t>
      </w:r>
      <w:r>
        <w:t>em</w:t>
      </w:r>
      <w:r w:rsidRPr="001B21CF">
        <w:t xml:space="preserve"> a sledovat pokrok, aby </w:t>
      </w:r>
      <w:r>
        <w:t>v případě potřeby</w:t>
      </w:r>
      <w:r w:rsidRPr="001B21CF">
        <w:t xml:space="preserve"> bylo možné </w:t>
      </w:r>
      <w:r>
        <w:t>směr</w:t>
      </w:r>
      <w:r w:rsidRPr="001B21CF">
        <w:t xml:space="preserve"> korigovat. Zveřejnění cílů </w:t>
      </w:r>
      <w:r w:rsidRPr="0078523D">
        <w:t>také</w:t>
      </w:r>
      <w:r w:rsidRPr="001B21CF">
        <w:t xml:space="preserve"> pomáhá vytvořit potřebnou kolektivní dynamiku, protože </w:t>
      </w:r>
      <w:r w:rsidRPr="001660F7">
        <w:t>problém emisí</w:t>
      </w:r>
      <w:r>
        <w:t xml:space="preserve"> </w:t>
      </w:r>
      <w:r w:rsidRPr="001B21CF">
        <w:t>nemohou firmy vyřešit samy.</w:t>
      </w:r>
      <w:r>
        <w:t>“</w:t>
      </w:r>
    </w:p>
    <w:p w14:paraId="43AEC131" w14:textId="77777777" w:rsidR="00515F7E" w:rsidRPr="00C1435D" w:rsidRDefault="00515F7E" w:rsidP="00515F7E">
      <w:pPr>
        <w:spacing w:after="192" w:line="240" w:lineRule="auto"/>
        <w:rPr>
          <w:b/>
          <w:bCs/>
        </w:rPr>
      </w:pPr>
      <w:r w:rsidRPr="00E07667">
        <w:rPr>
          <w:b/>
          <w:bCs/>
        </w:rPr>
        <w:t>Je třeba jednat</w:t>
      </w:r>
      <w:r>
        <w:rPr>
          <w:b/>
          <w:bCs/>
        </w:rPr>
        <w:t xml:space="preserve"> rychle</w:t>
      </w:r>
      <w:r w:rsidRPr="00E07667">
        <w:rPr>
          <w:b/>
          <w:bCs/>
        </w:rPr>
        <w:t xml:space="preserve">, </w:t>
      </w:r>
      <w:r>
        <w:rPr>
          <w:b/>
          <w:bCs/>
        </w:rPr>
        <w:t>neboť</w:t>
      </w:r>
      <w:r w:rsidRPr="00E07667">
        <w:rPr>
          <w:b/>
          <w:bCs/>
        </w:rPr>
        <w:t xml:space="preserve"> </w:t>
      </w:r>
      <w:r>
        <w:rPr>
          <w:b/>
          <w:bCs/>
        </w:rPr>
        <w:t>jen</w:t>
      </w:r>
      <w:r w:rsidRPr="00E07667">
        <w:rPr>
          <w:b/>
          <w:bCs/>
        </w:rPr>
        <w:t xml:space="preserve"> 5 % </w:t>
      </w:r>
      <w:r>
        <w:rPr>
          <w:b/>
          <w:bCs/>
        </w:rPr>
        <w:t>firem</w:t>
      </w:r>
      <w:r w:rsidRPr="00E07667">
        <w:rPr>
          <w:b/>
          <w:bCs/>
        </w:rPr>
        <w:t xml:space="preserve"> je na dobré cestě k dosažení svých cílů</w:t>
      </w:r>
      <w:r>
        <w:rPr>
          <w:b/>
          <w:bCs/>
        </w:rPr>
        <w:t xml:space="preserve"> </w:t>
      </w:r>
    </w:p>
    <w:p w14:paraId="1A092005" w14:textId="77777777" w:rsidR="00515F7E" w:rsidRDefault="00515F7E" w:rsidP="00515F7E">
      <w:pPr>
        <w:spacing w:after="192" w:line="240" w:lineRule="auto"/>
      </w:pPr>
      <w:r w:rsidRPr="00E07667">
        <w:t xml:space="preserve">Studie však </w:t>
      </w:r>
      <w:r>
        <w:t xml:space="preserve">také </w:t>
      </w:r>
      <w:r w:rsidRPr="00E07667">
        <w:t xml:space="preserve">zjistila, že pokud budou </w:t>
      </w:r>
      <w:r>
        <w:t xml:space="preserve">podniky </w:t>
      </w:r>
      <w:r w:rsidRPr="00E07667">
        <w:t>pokračovat v</w:t>
      </w:r>
      <w:r>
        <w:t xml:space="preserve"> dosavadním</w:t>
      </w:r>
      <w:r w:rsidRPr="00E07667">
        <w:t xml:space="preserve"> tempu snižování emisí, kterého dosáhly v letech 2010 až 2019</w:t>
      </w:r>
      <w:r>
        <w:t xml:space="preserve">, tak čisté nuly </w:t>
      </w:r>
      <w:r w:rsidRPr="00E07667">
        <w:t>v</w:t>
      </w:r>
      <w:r>
        <w:t> oblastech (</w:t>
      </w:r>
      <w:r w:rsidRPr="005B4E33">
        <w:t>Scopes</w:t>
      </w:r>
      <w:r>
        <w:t>)</w:t>
      </w:r>
      <w:r w:rsidRPr="00E07667">
        <w:t xml:space="preserve"> 1 a 2</w:t>
      </w:r>
      <w:r>
        <w:t xml:space="preserve"> dosáhne </w:t>
      </w:r>
      <w:r w:rsidRPr="00E07667">
        <w:t xml:space="preserve">pouze jedna z 20 (5 %) evropských </w:t>
      </w:r>
      <w:r>
        <w:t>firem</w:t>
      </w:r>
      <w:r w:rsidRPr="00E07667">
        <w:t xml:space="preserve"> zahrnutých do studie</w:t>
      </w:r>
      <w:r>
        <w:t xml:space="preserve">, </w:t>
      </w:r>
      <w:r w:rsidRPr="00E07667">
        <w:t xml:space="preserve">a pouze 9 % </w:t>
      </w:r>
      <w:r>
        <w:t xml:space="preserve">firem </w:t>
      </w:r>
      <w:r w:rsidRPr="00E07667">
        <w:t xml:space="preserve">je na dobré cestě k dosažení </w:t>
      </w:r>
      <w:r>
        <w:t xml:space="preserve">svého </w:t>
      </w:r>
      <w:r w:rsidRPr="00E07667">
        <w:t xml:space="preserve">cíle </w:t>
      </w:r>
      <w:r>
        <w:t>určeného na rok</w:t>
      </w:r>
      <w:r w:rsidRPr="00E07667">
        <w:t xml:space="preserve"> 2050.</w:t>
      </w:r>
      <w:r>
        <w:t xml:space="preserve"> </w:t>
      </w:r>
      <w:r w:rsidRPr="00B33CC2">
        <w:t xml:space="preserve">Společnosti, které od roku 2010 dosáhly mírného snížení emisí, tj. </w:t>
      </w:r>
      <w:r>
        <w:t xml:space="preserve">o </w:t>
      </w:r>
      <w:r w:rsidRPr="00B33CC2">
        <w:t>0</w:t>
      </w:r>
      <w:r w:rsidRPr="00F11E23">
        <w:t>–</w:t>
      </w:r>
      <w:r w:rsidRPr="00B33CC2">
        <w:t>5 % ročně, mohou ještě před polovinou století d</w:t>
      </w:r>
      <w:r>
        <w:t>osáhnout ve svých provozech čistých nulových emisí v případě, že</w:t>
      </w:r>
      <w:r w:rsidRPr="00B33CC2">
        <w:t xml:space="preserve"> do roku 2030 zdvojnásobí tempo snižování emisí a do roku 2040 jej z</w:t>
      </w:r>
      <w:r>
        <w:t>t</w:t>
      </w:r>
      <w:r w:rsidRPr="00B33CC2">
        <w:t>rojnásobí.</w:t>
      </w:r>
    </w:p>
    <w:p w14:paraId="561052FF" w14:textId="77777777" w:rsidR="00515F7E" w:rsidRPr="00C1435D" w:rsidRDefault="00515F7E" w:rsidP="00515F7E">
      <w:pPr>
        <w:spacing w:after="192" w:line="240" w:lineRule="auto"/>
      </w:pPr>
      <w:r w:rsidRPr="00E92370">
        <w:t>Zpráva</w:t>
      </w:r>
      <w:r>
        <w:t xml:space="preserve"> </w:t>
      </w:r>
      <w:hyperlink r:id="rId9" w:history="1">
        <w:r w:rsidRPr="000E316D">
          <w:rPr>
            <w:rStyle w:val="Hypertextovodkaz"/>
            <w:shd w:val="clear" w:color="auto" w:fill="FFFFFF"/>
            <w:lang w:val="en-US"/>
          </w:rPr>
          <w:t>Reaching Net Zero by 2050</w:t>
        </w:r>
      </w:hyperlink>
      <w:r w:rsidRPr="00E92370">
        <w:t xml:space="preserve"> navrhuje konkrétní řešení a </w:t>
      </w:r>
      <w:r>
        <w:t>kroky</w:t>
      </w:r>
      <w:r w:rsidRPr="00E92370">
        <w:t xml:space="preserve"> k dosažení </w:t>
      </w:r>
      <w:r>
        <w:t xml:space="preserve">čisté </w:t>
      </w:r>
      <w:r w:rsidRPr="00E92370">
        <w:t xml:space="preserve">nulové spotřeby </w:t>
      </w:r>
      <w:r>
        <w:t>ve</w:t>
      </w:r>
      <w:r w:rsidRPr="00E92370">
        <w:t xml:space="preserve"> vybran</w:t>
      </w:r>
      <w:r>
        <w:t>ých</w:t>
      </w:r>
      <w:r w:rsidRPr="00E92370">
        <w:t xml:space="preserve"> odvětví</w:t>
      </w:r>
      <w:r>
        <w:t>ch</w:t>
      </w:r>
      <w:r w:rsidRPr="00E92370">
        <w:t xml:space="preserve">, včetně automobilového, chemického, stavebního, finančního </w:t>
      </w:r>
      <w:r>
        <w:t>a dopravního průmyslu a maloobchodu.</w:t>
      </w:r>
    </w:p>
    <w:p w14:paraId="60745453" w14:textId="77777777" w:rsidR="00515F7E" w:rsidRDefault="00515F7E" w:rsidP="00515F7E">
      <w:pPr>
        <w:spacing w:after="192" w:line="240" w:lineRule="auto"/>
      </w:pPr>
      <w:r w:rsidRPr="000E0BF3">
        <w:lastRenderedPageBreak/>
        <w:t xml:space="preserve">Ukazuje také, že sedm průmyslových odvětví </w:t>
      </w:r>
      <w:r>
        <w:t>– většinou ze</w:t>
      </w:r>
      <w:r w:rsidRPr="000E0BF3">
        <w:t xml:space="preserve"> </w:t>
      </w:r>
      <w:r>
        <w:t>sektoru</w:t>
      </w:r>
      <w:r w:rsidRPr="000E0BF3">
        <w:t xml:space="preserve"> služeb, </w:t>
      </w:r>
      <w:r>
        <w:t>např.</w:t>
      </w:r>
      <w:r w:rsidRPr="000E0BF3">
        <w:t xml:space="preserve"> </w:t>
      </w:r>
      <w:r>
        <w:t>odborné</w:t>
      </w:r>
      <w:r w:rsidRPr="000E0BF3">
        <w:t xml:space="preserve"> </w:t>
      </w:r>
      <w:r>
        <w:t>služby</w:t>
      </w:r>
      <w:r w:rsidRPr="000E0BF3">
        <w:t xml:space="preserve"> a</w:t>
      </w:r>
      <w:r>
        <w:t> </w:t>
      </w:r>
      <w:r w:rsidRPr="000E0BF3">
        <w:t>informační a komunikační</w:t>
      </w:r>
      <w:r>
        <w:t xml:space="preserve"> služby – bude</w:t>
      </w:r>
      <w:r w:rsidRPr="000E0BF3">
        <w:t xml:space="preserve"> na </w:t>
      </w:r>
      <w:r>
        <w:t xml:space="preserve">dobré </w:t>
      </w:r>
      <w:r w:rsidRPr="000E0BF3">
        <w:t xml:space="preserve">cestě </w:t>
      </w:r>
      <w:r>
        <w:t xml:space="preserve">dosáhnout ve svých provozech </w:t>
      </w:r>
      <w:r w:rsidRPr="000E0BF3">
        <w:t>čistý</w:t>
      </w:r>
      <w:r>
        <w:t>ch</w:t>
      </w:r>
      <w:r w:rsidRPr="000E0BF3">
        <w:t xml:space="preserve"> nulový</w:t>
      </w:r>
      <w:r>
        <w:t>ch</w:t>
      </w:r>
      <w:r w:rsidRPr="000E0BF3">
        <w:t xml:space="preserve"> </w:t>
      </w:r>
      <w:r>
        <w:t>emisí</w:t>
      </w:r>
      <w:r w:rsidRPr="0095101C">
        <w:t xml:space="preserve"> </w:t>
      </w:r>
      <w:r w:rsidRPr="000E0BF3">
        <w:t xml:space="preserve">do roku 2050, pokud </w:t>
      </w:r>
      <w:r>
        <w:t xml:space="preserve">ještě </w:t>
      </w:r>
      <w:r w:rsidRPr="000E0BF3">
        <w:t xml:space="preserve">v tomto desetiletí </w:t>
      </w:r>
      <w:r>
        <w:t xml:space="preserve">své </w:t>
      </w:r>
      <w:r w:rsidRPr="000E0BF3">
        <w:t xml:space="preserve">tempo snižování emisí zdvojnásobí </w:t>
      </w:r>
      <w:r>
        <w:t>a </w:t>
      </w:r>
      <w:r w:rsidRPr="000E0BF3">
        <w:t>v následujících deseti letech zrychlí o dalších 50 až 70 %.</w:t>
      </w:r>
      <w:r>
        <w:t xml:space="preserve"> V</w:t>
      </w:r>
      <w:r w:rsidRPr="0095101C">
        <w:t xml:space="preserve"> pěti odvětvích, </w:t>
      </w:r>
      <w:r>
        <w:t xml:space="preserve">na která připadá 42 </w:t>
      </w:r>
      <w:r w:rsidRPr="0095101C">
        <w:t xml:space="preserve">% </w:t>
      </w:r>
      <w:r>
        <w:t xml:space="preserve">všech </w:t>
      </w:r>
      <w:r w:rsidRPr="0095101C">
        <w:t>emisí skleníkových plynů</w:t>
      </w:r>
      <w:r>
        <w:t xml:space="preserve"> vyprodukovaných</w:t>
      </w:r>
      <w:r w:rsidRPr="0095101C">
        <w:t xml:space="preserve"> společnost</w:t>
      </w:r>
      <w:r>
        <w:t>mi</w:t>
      </w:r>
      <w:r w:rsidRPr="0095101C">
        <w:t xml:space="preserve"> ve výzkumném vzorku </w:t>
      </w:r>
      <w:r>
        <w:t xml:space="preserve">– tj. v </w:t>
      </w:r>
      <w:r w:rsidRPr="0095101C">
        <w:t>automobilovém průmyslu, stavebnictví, zpracovatelském průmyslu, ropném a plynárenském průmyslu</w:t>
      </w:r>
      <w:r>
        <w:t>,</w:t>
      </w:r>
      <w:r w:rsidRPr="0095101C">
        <w:t xml:space="preserve"> </w:t>
      </w:r>
      <w:r>
        <w:t xml:space="preserve">v </w:t>
      </w:r>
      <w:r w:rsidRPr="0095101C">
        <w:t>dopravě a skladování</w:t>
      </w:r>
      <w:r>
        <w:t xml:space="preserve"> – bude dosažení stejného cíle vyžadovat ještě radikálnější</w:t>
      </w:r>
      <w:r w:rsidRPr="0095101C">
        <w:t xml:space="preserve"> zrychlení</w:t>
      </w:r>
      <w:r>
        <w:t>.</w:t>
      </w:r>
    </w:p>
    <w:p w14:paraId="7F782516" w14:textId="77777777" w:rsidR="00515F7E" w:rsidRDefault="00515F7E" w:rsidP="00515F7E">
      <w:pPr>
        <w:spacing w:after="192" w:line="240" w:lineRule="auto"/>
      </w:pPr>
      <w:r>
        <w:t>„V</w:t>
      </w:r>
      <w:r w:rsidRPr="008804BA">
        <w:t xml:space="preserve"> případě, že</w:t>
      </w:r>
      <w:r>
        <w:t xml:space="preserve"> ne</w:t>
      </w:r>
      <w:r w:rsidRPr="008804BA">
        <w:t>podnikneme rychlé a rozhodné kroky</w:t>
      </w:r>
      <w:r>
        <w:t xml:space="preserve"> ještě</w:t>
      </w:r>
      <w:r w:rsidRPr="008804BA">
        <w:t xml:space="preserve"> v tomto desetiletí</w:t>
      </w:r>
      <w:r>
        <w:t>, nebude možné</w:t>
      </w:r>
      <w:r w:rsidRPr="008804BA">
        <w:t xml:space="preserve"> </w:t>
      </w:r>
      <w:r>
        <w:t>čistých n</w:t>
      </w:r>
      <w:r w:rsidRPr="008804BA">
        <w:t>ulov</w:t>
      </w:r>
      <w:r>
        <w:t>ých emisí dosáhnout</w:t>
      </w:r>
      <w:r w:rsidRPr="008804BA">
        <w:t xml:space="preserve"> </w:t>
      </w:r>
      <w:r>
        <w:t>do roku 2050 –</w:t>
      </w:r>
      <w:r w:rsidRPr="008804BA">
        <w:t xml:space="preserve"> </w:t>
      </w:r>
      <w:r w:rsidRPr="007E4452">
        <w:t>natož</w:t>
      </w:r>
      <w:r w:rsidRPr="008804BA">
        <w:t xml:space="preserve"> dříve</w:t>
      </w:r>
      <w:r>
        <w:t xml:space="preserve">. </w:t>
      </w:r>
      <w:r w:rsidRPr="008804BA">
        <w:t xml:space="preserve">Naše zjištění ukazují, že to možné je, ale </w:t>
      </w:r>
      <w:r>
        <w:t>pouze v případě, že</w:t>
      </w:r>
      <w:r w:rsidRPr="008804BA">
        <w:t xml:space="preserve"> evropské podn</w:t>
      </w:r>
      <w:r>
        <w:t>i</w:t>
      </w:r>
      <w:r w:rsidRPr="008804BA">
        <w:t>ky budou jednat hned,</w:t>
      </w:r>
      <w:r w:rsidRPr="005B4E33">
        <w:t>“</w:t>
      </w:r>
      <w:r w:rsidRPr="008804BA">
        <w:t xml:space="preserve"> řekl Ollagnier.</w:t>
      </w:r>
      <w:r>
        <w:t xml:space="preserve"> „</w:t>
      </w:r>
      <w:r w:rsidRPr="008804BA">
        <w:t xml:space="preserve">Řešení se liší </w:t>
      </w:r>
      <w:r>
        <w:t>v závislosti na odvětví a firmě, každý má jiné výchozí podmínky</w:t>
      </w:r>
      <w:r w:rsidRPr="008804BA">
        <w:t xml:space="preserve">, příležitosti a výzvy. V některých odvětvích jsou potřebné technologie </w:t>
      </w:r>
      <w:r>
        <w:t xml:space="preserve">již </w:t>
      </w:r>
      <w:r w:rsidRPr="008804BA">
        <w:t>k</w:t>
      </w:r>
      <w:r>
        <w:t> </w:t>
      </w:r>
      <w:r w:rsidRPr="008804BA">
        <w:t>dispozici</w:t>
      </w:r>
      <w:r>
        <w:t>, ale</w:t>
      </w:r>
      <w:r w:rsidRPr="008804BA">
        <w:t xml:space="preserve"> bude třeba je rychle</w:t>
      </w:r>
      <w:r>
        <w:t xml:space="preserve"> </w:t>
      </w:r>
      <w:r w:rsidRPr="008804BA">
        <w:t xml:space="preserve">rozšířit. V jiných </w:t>
      </w:r>
      <w:r>
        <w:t xml:space="preserve">odvětvích </w:t>
      </w:r>
      <w:r w:rsidRPr="008804BA">
        <w:t xml:space="preserve">budou muset být </w:t>
      </w:r>
      <w:r>
        <w:t xml:space="preserve">ještě </w:t>
      </w:r>
      <w:r w:rsidRPr="008804BA">
        <w:t>vynalezeny. Dosažení cíle však bude vyžadovat, aby všechny podniky učinily z</w:t>
      </w:r>
      <w:r>
        <w:t> inovací</w:t>
      </w:r>
      <w:r w:rsidRPr="008804BA">
        <w:t xml:space="preserve"> normu, kte</w:t>
      </w:r>
      <w:r>
        <w:t>rá bude poháněna technologiemi</w:t>
      </w:r>
      <w:r w:rsidRPr="008804BA">
        <w:t>, spolupr</w:t>
      </w:r>
      <w:r>
        <w:t>ací, novými obchodními modely a </w:t>
      </w:r>
      <w:r w:rsidRPr="008804BA">
        <w:t>podpůrnou regulací.</w:t>
      </w:r>
      <w:r>
        <w:t>“</w:t>
      </w:r>
    </w:p>
    <w:p w14:paraId="3DF9A3FB" w14:textId="77777777" w:rsidR="00515F7E" w:rsidRDefault="00515F7E" w:rsidP="00515F7E">
      <w:pPr>
        <w:spacing w:after="192" w:line="240" w:lineRule="auto"/>
      </w:pPr>
      <w:r>
        <w:t>Nejčastěji si konkrétní cílový rok pro dosažení čistých nulových emisí ve všech třech kategoriích (tzv. GHG Scope 1,2, a 3)</w:t>
      </w:r>
      <w:r w:rsidRPr="00CF636F">
        <w:t>*</w:t>
      </w:r>
      <w:r>
        <w:t xml:space="preserve"> stanovily s</w:t>
      </w:r>
      <w:r w:rsidRPr="00CF636F">
        <w:t xml:space="preserve">polečnosti kótované </w:t>
      </w:r>
      <w:r>
        <w:t>na britských burzách</w:t>
      </w:r>
      <w:r w:rsidRPr="00CF636F">
        <w:t xml:space="preserve"> </w:t>
      </w:r>
      <w:r>
        <w:t>–</w:t>
      </w:r>
      <w:r w:rsidRPr="00CF636F">
        <w:t xml:space="preserve"> </w:t>
      </w:r>
      <w:r>
        <w:t>bylo to celkem 37 % z nich, v </w:t>
      </w:r>
      <w:r w:rsidRPr="00CF636F">
        <w:t xml:space="preserve">Německu </w:t>
      </w:r>
      <w:r>
        <w:t>pak</w:t>
      </w:r>
      <w:r w:rsidRPr="00CF636F">
        <w:t xml:space="preserve"> 27 % a ve Francii 18 %.</w:t>
      </w:r>
    </w:p>
    <w:p w14:paraId="2C7C4BFC" w14:textId="77777777" w:rsidR="00515F7E" w:rsidRPr="00577C44" w:rsidRDefault="00515F7E" w:rsidP="00515F7E">
      <w:pPr>
        <w:spacing w:after="192" w:line="240" w:lineRule="auto"/>
        <w:rPr>
          <w:bCs/>
          <w:i/>
          <w:iCs/>
        </w:rPr>
      </w:pPr>
      <w:r w:rsidRPr="00577C44">
        <w:rPr>
          <w:bCs/>
          <w:i/>
          <w:iCs/>
        </w:rPr>
        <w:t xml:space="preserve">* Emise </w:t>
      </w:r>
      <w:r>
        <w:rPr>
          <w:bCs/>
          <w:i/>
          <w:iCs/>
        </w:rPr>
        <w:t>označované jako „Scope</w:t>
      </w:r>
      <w:r w:rsidRPr="00577C44">
        <w:rPr>
          <w:bCs/>
          <w:i/>
          <w:iCs/>
        </w:rPr>
        <w:t xml:space="preserve"> 1</w:t>
      </w:r>
      <w:r>
        <w:rPr>
          <w:bCs/>
          <w:i/>
          <w:iCs/>
        </w:rPr>
        <w:t>“</w:t>
      </w:r>
      <w:r w:rsidRPr="00577C44">
        <w:rPr>
          <w:bCs/>
          <w:i/>
          <w:iCs/>
        </w:rPr>
        <w:t xml:space="preserve"> jsou přímé emise skleníkových plynů z</w:t>
      </w:r>
      <w:r>
        <w:rPr>
          <w:bCs/>
          <w:i/>
          <w:iCs/>
        </w:rPr>
        <w:t>e</w:t>
      </w:r>
      <w:r w:rsidRPr="00577C44">
        <w:rPr>
          <w:bCs/>
          <w:i/>
          <w:iCs/>
        </w:rPr>
        <w:t xml:space="preserve"> zdrojů</w:t>
      </w:r>
      <w:r>
        <w:rPr>
          <w:bCs/>
          <w:i/>
          <w:iCs/>
        </w:rPr>
        <w:t>, které firma vlastní a ovládá</w:t>
      </w:r>
      <w:r w:rsidRPr="00577C44">
        <w:rPr>
          <w:bCs/>
          <w:i/>
          <w:iCs/>
        </w:rPr>
        <w:t xml:space="preserve">. </w:t>
      </w:r>
      <w:r>
        <w:rPr>
          <w:bCs/>
          <w:i/>
          <w:iCs/>
        </w:rPr>
        <w:t>Emise označované jako „Scope 2“ zahrnují</w:t>
      </w:r>
      <w:r w:rsidRPr="00577C44">
        <w:rPr>
          <w:bCs/>
          <w:i/>
          <w:iCs/>
        </w:rPr>
        <w:t xml:space="preserve"> nepřímé emise </w:t>
      </w:r>
      <w:r>
        <w:rPr>
          <w:bCs/>
          <w:i/>
          <w:iCs/>
        </w:rPr>
        <w:t>související s využíváním nakupované</w:t>
      </w:r>
      <w:r w:rsidRPr="00577C44">
        <w:rPr>
          <w:bCs/>
          <w:i/>
          <w:iCs/>
        </w:rPr>
        <w:t xml:space="preserve"> energie </w:t>
      </w:r>
      <w:r>
        <w:rPr>
          <w:bCs/>
          <w:i/>
          <w:iCs/>
        </w:rPr>
        <w:t>– t</w:t>
      </w:r>
      <w:r w:rsidRPr="00577C44">
        <w:rPr>
          <w:bCs/>
          <w:i/>
          <w:iCs/>
        </w:rPr>
        <w:t>j. elektřiny, páry, tepla a chladu</w:t>
      </w:r>
      <w:r>
        <w:rPr>
          <w:bCs/>
          <w:i/>
          <w:iCs/>
        </w:rPr>
        <w:t>, které</w:t>
      </w:r>
      <w:r w:rsidRPr="00577C44">
        <w:rPr>
          <w:bCs/>
          <w:i/>
          <w:iCs/>
        </w:rPr>
        <w:t xml:space="preserve"> </w:t>
      </w:r>
      <w:r>
        <w:rPr>
          <w:bCs/>
          <w:i/>
          <w:iCs/>
        </w:rPr>
        <w:t>vykazující společnost</w:t>
      </w:r>
      <w:r w:rsidRPr="00C37B46">
        <w:rPr>
          <w:bCs/>
          <w:i/>
          <w:iCs/>
        </w:rPr>
        <w:t xml:space="preserve"> </w:t>
      </w:r>
      <w:r w:rsidRPr="00577C44">
        <w:rPr>
          <w:bCs/>
          <w:i/>
          <w:iCs/>
        </w:rPr>
        <w:t>spotřebov</w:t>
      </w:r>
      <w:r>
        <w:rPr>
          <w:bCs/>
          <w:i/>
          <w:iCs/>
        </w:rPr>
        <w:t>ává</w:t>
      </w:r>
      <w:r w:rsidRPr="00577C44">
        <w:rPr>
          <w:bCs/>
          <w:i/>
          <w:iCs/>
        </w:rPr>
        <w:t xml:space="preserve">. </w:t>
      </w:r>
      <w:r>
        <w:rPr>
          <w:bCs/>
          <w:i/>
          <w:iCs/>
        </w:rPr>
        <w:t>„Scope</w:t>
      </w:r>
      <w:r w:rsidRPr="00577C44">
        <w:rPr>
          <w:bCs/>
          <w:i/>
          <w:iCs/>
        </w:rPr>
        <w:t xml:space="preserve"> 3</w:t>
      </w:r>
      <w:r>
        <w:rPr>
          <w:bCs/>
          <w:i/>
          <w:iCs/>
        </w:rPr>
        <w:t>“</w:t>
      </w:r>
      <w:r w:rsidRPr="00577C44">
        <w:rPr>
          <w:bCs/>
          <w:i/>
          <w:iCs/>
        </w:rPr>
        <w:t xml:space="preserve"> </w:t>
      </w:r>
      <w:r>
        <w:rPr>
          <w:bCs/>
          <w:i/>
          <w:iCs/>
        </w:rPr>
        <w:t xml:space="preserve">pak </w:t>
      </w:r>
      <w:r w:rsidRPr="00577C44">
        <w:rPr>
          <w:bCs/>
          <w:i/>
          <w:iCs/>
        </w:rPr>
        <w:t>zahrnuje všechny ostatní nepřímé emise, které vznikají v hodnotovém řetězci společnosti.</w:t>
      </w:r>
    </w:p>
    <w:p w14:paraId="0A72AF97" w14:textId="77777777" w:rsidR="001376E7" w:rsidRDefault="001376E7" w:rsidP="001376E7">
      <w:pPr>
        <w:spacing w:after="192"/>
        <w:rPr>
          <w:b/>
          <w:bCs/>
          <w:noProof w:val="0"/>
        </w:rPr>
      </w:pPr>
    </w:p>
    <w:p w14:paraId="0B1FC5DE" w14:textId="36A24660" w:rsidR="001376E7" w:rsidRPr="00B6409F" w:rsidRDefault="001376E7" w:rsidP="001376E7">
      <w:pPr>
        <w:spacing w:after="192"/>
        <w:rPr>
          <w:noProof w:val="0"/>
        </w:rPr>
      </w:pPr>
      <w:r w:rsidRPr="00B6409F">
        <w:rPr>
          <w:b/>
          <w:bCs/>
          <w:noProof w:val="0"/>
        </w:rPr>
        <w:t xml:space="preserve">O společnosti </w:t>
      </w:r>
      <w:proofErr w:type="spellStart"/>
      <w:r w:rsidRPr="00B6409F">
        <w:rPr>
          <w:b/>
          <w:bCs/>
          <w:noProof w:val="0"/>
        </w:rPr>
        <w:t>Accenture</w:t>
      </w:r>
      <w:proofErr w:type="spellEnd"/>
    </w:p>
    <w:p w14:paraId="5CF68D52" w14:textId="77777777" w:rsidR="001376E7" w:rsidRPr="00B6409F" w:rsidRDefault="001376E7" w:rsidP="001376E7">
      <w:pPr>
        <w:spacing w:after="192"/>
        <w:rPr>
          <w:noProof w:val="0"/>
          <w:color w:val="0000FF"/>
          <w:u w:val="single"/>
        </w:rPr>
      </w:pPr>
      <w:proofErr w:type="spellStart"/>
      <w:r w:rsidRPr="00B6409F">
        <w:rPr>
          <w:noProof w:val="0"/>
        </w:rPr>
        <w:t>Accenture</w:t>
      </w:r>
      <w:proofErr w:type="spellEnd"/>
      <w:r w:rsidRPr="00B6409F">
        <w:rPr>
          <w:noProof w:val="0"/>
        </w:rPr>
        <w:t xml:space="preserve"> je globální společnost poskytující profesionální služby v oblasti digitalizace, cloudu a kybernetické bezpečnosti. Díky propojení zkušeností a specializovaných dovedností ve více než 40 průmyslových odvětvích nabízíme služby v oblastech poradenství &amp; strategie, </w:t>
      </w:r>
      <w:proofErr w:type="spellStart"/>
      <w:r w:rsidRPr="00B6409F">
        <w:rPr>
          <w:noProof w:val="0"/>
        </w:rPr>
        <w:t>Interactive</w:t>
      </w:r>
      <w:proofErr w:type="spellEnd"/>
      <w:r w:rsidRPr="00B6409F">
        <w:rPr>
          <w:noProof w:val="0"/>
        </w:rPr>
        <w:t xml:space="preserve">, Technology a </w:t>
      </w:r>
      <w:proofErr w:type="spellStart"/>
      <w:r w:rsidRPr="00B6409F">
        <w:rPr>
          <w:noProof w:val="0"/>
        </w:rPr>
        <w:t>Operations</w:t>
      </w:r>
      <w:proofErr w:type="spellEnd"/>
      <w:r w:rsidRPr="00B6409F">
        <w:rPr>
          <w:noProof w:val="0"/>
        </w:rPr>
        <w:t xml:space="preserve"> – a to díky podpoře největší celosvětové sítě </w:t>
      </w:r>
      <w:proofErr w:type="spellStart"/>
      <w:r w:rsidRPr="00B6409F">
        <w:rPr>
          <w:noProof w:val="0"/>
        </w:rPr>
        <w:t>Advanced</w:t>
      </w:r>
      <w:proofErr w:type="spellEnd"/>
      <w:r w:rsidRPr="00B6409F">
        <w:rPr>
          <w:noProof w:val="0"/>
        </w:rPr>
        <w:t xml:space="preserve"> Technology a </w:t>
      </w:r>
      <w:proofErr w:type="spellStart"/>
      <w:r w:rsidRPr="00B6409F">
        <w:rPr>
          <w:noProof w:val="0"/>
        </w:rPr>
        <w:t>Intelligent</w:t>
      </w:r>
      <w:proofErr w:type="spellEnd"/>
      <w:r w:rsidRPr="00B6409F">
        <w:rPr>
          <w:noProof w:val="0"/>
        </w:rPr>
        <w:t xml:space="preserve"> </w:t>
      </w:r>
      <w:proofErr w:type="spellStart"/>
      <w:r w:rsidRPr="00B6409F">
        <w:rPr>
          <w:noProof w:val="0"/>
        </w:rPr>
        <w:t>Operations</w:t>
      </w:r>
      <w:proofErr w:type="spellEnd"/>
      <w:r w:rsidRPr="00B6409F">
        <w:rPr>
          <w:noProof w:val="0"/>
        </w:rPr>
        <w:t xml:space="preserve"> center. Našich 567</w:t>
      </w:r>
      <w:r>
        <w:rPr>
          <w:noProof w:val="0"/>
        </w:rPr>
        <w:t xml:space="preserve"> </w:t>
      </w:r>
      <w:r w:rsidRPr="00B6409F">
        <w:rPr>
          <w:noProof w:val="0"/>
        </w:rPr>
        <w:t>000 zaměstnanců využívá možnosti nejnovějších technologií i lidské vynalézavosti v práci pro klienty ve více než 120 zemích. Díky síle změn vytváříme hodnoty a zvyšujeme úspěšnost našich klientů, lidí, akcionářů, partnerů i celé společnosti. Navštivte nás na </w:t>
      </w:r>
      <w:hyperlink r:id="rId10" w:tgtFrame="_blank" w:history="1">
        <w:r w:rsidRPr="00B6409F">
          <w:rPr>
            <w:rStyle w:val="Hypertextovodkaz"/>
            <w:noProof w:val="0"/>
          </w:rPr>
          <w:t>www.accenture.com</w:t>
        </w:r>
      </w:hyperlink>
      <w:r w:rsidRPr="00B6409F">
        <w:t xml:space="preserve"> nebo</w:t>
      </w:r>
      <w:r>
        <w:rPr>
          <w:rStyle w:val="Hypertextovodkaz"/>
          <w:noProof w:val="0"/>
        </w:rPr>
        <w:t xml:space="preserve"> </w:t>
      </w:r>
      <w:hyperlink r:id="rId11" w:history="1">
        <w:r w:rsidRPr="00B6409F">
          <w:rPr>
            <w:rStyle w:val="Hypertextovodkaz"/>
            <w:noProof w:val="0"/>
          </w:rPr>
          <w:t>https://www.accenture.com/cz-en/about/company/newsroom</w:t>
        </w:r>
      </w:hyperlink>
      <w:r>
        <w:rPr>
          <w:noProof w:val="0"/>
          <w:color w:val="0000FF"/>
          <w:u w:val="single"/>
        </w:rPr>
        <w:t>.</w:t>
      </w:r>
    </w:p>
    <w:p w14:paraId="79985B0D" w14:textId="77777777" w:rsidR="001376E7" w:rsidRPr="00B6409F" w:rsidRDefault="001376E7" w:rsidP="001376E7">
      <w:pPr>
        <w:pStyle w:val="Bezmezer"/>
        <w:spacing w:after="192"/>
        <w:rPr>
          <w:noProof w:val="0"/>
        </w:rPr>
      </w:pPr>
    </w:p>
    <w:p w14:paraId="64EA00E0" w14:textId="77777777" w:rsidR="001376E7" w:rsidRPr="00B6409F" w:rsidRDefault="001376E7" w:rsidP="001376E7">
      <w:pPr>
        <w:pStyle w:val="Textkomente"/>
        <w:spacing w:after="192" w:line="240" w:lineRule="auto"/>
        <w:contextualSpacing/>
        <w:rPr>
          <w:noProof w:val="0"/>
        </w:rPr>
      </w:pPr>
      <w:r w:rsidRPr="00B6409F">
        <w:rPr>
          <w:b/>
          <w:bCs/>
          <w:noProof w:val="0"/>
        </w:rPr>
        <w:t>Kontakt</w:t>
      </w:r>
      <w:r w:rsidRPr="00B6409F">
        <w:rPr>
          <w:b/>
          <w:noProof w:val="0"/>
        </w:rPr>
        <w:t xml:space="preserve"> pro média:</w:t>
      </w:r>
      <w:r w:rsidRPr="00B6409F">
        <w:rPr>
          <w:noProof w:val="0"/>
        </w:rPr>
        <w:t xml:space="preserve"> </w:t>
      </w:r>
      <w:r w:rsidRPr="00B6409F">
        <w:rPr>
          <w:noProof w:val="0"/>
        </w:rPr>
        <w:tab/>
      </w:r>
      <w:r>
        <w:rPr>
          <w:noProof w:val="0"/>
        </w:rPr>
        <w:t xml:space="preserve">Lukáš Vejnar, </w:t>
      </w:r>
      <w:hyperlink r:id="rId12" w:history="1">
        <w:r>
          <w:rPr>
            <w:rStyle w:val="Hypertextovodkaz"/>
            <w:lang w:val="en-US"/>
          </w:rPr>
          <w:t>lukas.vejnar@accenture.com</w:t>
        </w:r>
      </w:hyperlink>
      <w:r>
        <w:rPr>
          <w:lang w:val="en-US"/>
        </w:rPr>
        <w:t xml:space="preserve">, </w:t>
      </w:r>
      <w:r w:rsidRPr="000561A0">
        <w:t>605</w:t>
      </w:r>
      <w:r>
        <w:t> </w:t>
      </w:r>
      <w:r w:rsidRPr="000561A0">
        <w:t>067</w:t>
      </w:r>
      <w:r>
        <w:t> </w:t>
      </w:r>
      <w:r w:rsidRPr="000561A0">
        <w:t>979</w:t>
      </w:r>
    </w:p>
    <w:p w14:paraId="003074A9" w14:textId="77777777" w:rsidR="001376E7" w:rsidRPr="00B6409F" w:rsidRDefault="001376E7" w:rsidP="001376E7">
      <w:pPr>
        <w:spacing w:before="120" w:after="192" w:line="240" w:lineRule="auto"/>
        <w:ind w:left="1440" w:firstLine="720"/>
        <w:contextualSpacing/>
        <w:jc w:val="left"/>
        <w:rPr>
          <w:noProof w:val="0"/>
        </w:rPr>
        <w:sectPr w:rsidR="001376E7" w:rsidRPr="00B6409F" w:rsidSect="00616E37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07" w:h="16840"/>
          <w:pgMar w:top="1701" w:right="1418" w:bottom="1418" w:left="1418" w:header="709" w:footer="709" w:gutter="0"/>
          <w:cols w:space="708"/>
        </w:sectPr>
      </w:pPr>
      <w:r w:rsidRPr="00B6409F">
        <w:rPr>
          <w:noProof w:val="0"/>
        </w:rPr>
        <w:t xml:space="preserve">Petr Jarkovský, </w:t>
      </w:r>
      <w:hyperlink r:id="rId19" w:history="1">
        <w:r w:rsidRPr="00B6409F">
          <w:rPr>
            <w:rStyle w:val="Hypertextovodkaz"/>
            <w:noProof w:val="0"/>
          </w:rPr>
          <w:t>petr.jarkovsky@aspen.pr</w:t>
        </w:r>
      </w:hyperlink>
      <w:r w:rsidRPr="00B6409F">
        <w:rPr>
          <w:noProof w:val="0"/>
        </w:rPr>
        <w:t>, 774 225 153</w:t>
      </w:r>
    </w:p>
    <w:p w14:paraId="5DF81E5B" w14:textId="79CFC3C1" w:rsidR="001376E7" w:rsidRDefault="001376E7" w:rsidP="001376E7">
      <w:pPr>
        <w:pStyle w:val="Textkomente"/>
        <w:spacing w:after="192"/>
        <w:contextualSpacing/>
        <w:rPr>
          <w:noProof w:val="0"/>
        </w:rPr>
      </w:pPr>
      <w:r w:rsidRPr="00B6409F">
        <w:rPr>
          <w:noProof w:val="0"/>
        </w:rPr>
        <w:tab/>
      </w:r>
      <w:r w:rsidRPr="00B6409F">
        <w:rPr>
          <w:noProof w:val="0"/>
        </w:rPr>
        <w:tab/>
      </w:r>
      <w:r w:rsidRPr="00B6409F">
        <w:rPr>
          <w:noProof w:val="0"/>
        </w:rPr>
        <w:tab/>
        <w:t xml:space="preserve">Markéta Ciňková, </w:t>
      </w:r>
      <w:hyperlink r:id="rId20" w:history="1">
        <w:r w:rsidRPr="00B6409F">
          <w:rPr>
            <w:rStyle w:val="Hypertextovodkaz"/>
            <w:noProof w:val="0"/>
          </w:rPr>
          <w:t>marketa.cinkova@aspen.pr</w:t>
        </w:r>
      </w:hyperlink>
      <w:r w:rsidRPr="00B6409F">
        <w:rPr>
          <w:noProof w:val="0"/>
        </w:rPr>
        <w:t>, 724 012</w:t>
      </w:r>
      <w:r>
        <w:rPr>
          <w:noProof w:val="0"/>
        </w:rPr>
        <w:t> </w:t>
      </w:r>
      <w:r w:rsidRPr="00B6409F">
        <w:rPr>
          <w:noProof w:val="0"/>
        </w:rPr>
        <w:t>612</w:t>
      </w:r>
    </w:p>
    <w:sectPr w:rsidR="001376E7" w:rsidSect="003006BF">
      <w:headerReference w:type="default" r:id="rId21"/>
      <w:type w:val="continuous"/>
      <w:pgSz w:w="11907" w:h="16840"/>
      <w:pgMar w:top="170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703CC" w14:textId="77777777" w:rsidR="00E30FE3" w:rsidRDefault="00E30FE3">
      <w:pPr>
        <w:spacing w:after="192"/>
        <w:rPr>
          <w:rFonts w:ascii="Times New Roman" w:hAnsi="Times New Roman"/>
        </w:rPr>
      </w:pPr>
      <w:r>
        <w:rPr>
          <w:rFonts w:ascii="Times New Roman" w:hAnsi="Times New Roman"/>
        </w:rPr>
        <w:separator/>
      </w:r>
    </w:p>
  </w:endnote>
  <w:endnote w:type="continuationSeparator" w:id="0">
    <w:p w14:paraId="6F518CA7" w14:textId="77777777" w:rsidR="00E30FE3" w:rsidRDefault="00E30FE3">
      <w:pPr>
        <w:spacing w:after="192"/>
        <w:rPr>
          <w:rFonts w:ascii="Times New Roman" w:hAnsi="Times New Roman"/>
        </w:rPr>
      </w:pPr>
      <w:r>
        <w:rPr>
          <w:rFonts w:ascii="Times New Roman" w:hAnsi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79514" w14:textId="77777777" w:rsidR="001376E7" w:rsidRDefault="001376E7">
    <w:pPr>
      <w:pStyle w:val="Zpat"/>
      <w:spacing w:after="19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71817" w14:textId="77777777" w:rsidR="001376E7" w:rsidRDefault="001376E7">
    <w:pPr>
      <w:pStyle w:val="Zpat"/>
      <w:spacing w:after="1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7031F" w14:textId="77777777" w:rsidR="001376E7" w:rsidRDefault="001376E7">
    <w:pPr>
      <w:pStyle w:val="Zpat"/>
      <w:spacing w:after="1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4080C" w14:textId="77777777" w:rsidR="00E30FE3" w:rsidRDefault="00E30FE3">
      <w:pPr>
        <w:spacing w:after="192"/>
        <w:rPr>
          <w:rFonts w:ascii="Times New Roman" w:hAnsi="Times New Roman"/>
        </w:rPr>
      </w:pPr>
      <w:r>
        <w:rPr>
          <w:rFonts w:ascii="Times New Roman" w:hAnsi="Times New Roman"/>
        </w:rPr>
        <w:separator/>
      </w:r>
    </w:p>
  </w:footnote>
  <w:footnote w:type="continuationSeparator" w:id="0">
    <w:p w14:paraId="27BBADC5" w14:textId="77777777" w:rsidR="00E30FE3" w:rsidRDefault="00E30FE3">
      <w:pPr>
        <w:spacing w:after="192"/>
        <w:rPr>
          <w:rFonts w:ascii="Times New Roman" w:hAnsi="Times New Roman"/>
        </w:rPr>
      </w:pPr>
      <w:r>
        <w:rPr>
          <w:rFonts w:ascii="Times New Roman" w:hAnsi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6D39C" w14:textId="77777777" w:rsidR="001376E7" w:rsidRDefault="001376E7">
    <w:pPr>
      <w:pStyle w:val="Zhlav"/>
      <w:spacing w:after="19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1F424" w14:textId="77777777" w:rsidR="001376E7" w:rsidRDefault="001376E7">
    <w:pPr>
      <w:pStyle w:val="Zhlav"/>
      <w:spacing w:after="192"/>
      <w:rPr>
        <w:rFonts w:ascii="Times New Roman" w:hAnsi="Times New Roman"/>
      </w:rPr>
    </w:pPr>
    <w:r>
      <w:rPr>
        <w:rFonts w:ascii="Times New Roman" w:hAnsi="Times New Roman"/>
        <w:snapToGrid/>
        <w:lang w:eastAsia="cs-CZ"/>
      </w:rPr>
      <w:drawing>
        <wp:inline distT="0" distB="0" distL="0" distR="0" wp14:anchorId="096D4CEB" wp14:editId="412C7D68">
          <wp:extent cx="1955800" cy="524510"/>
          <wp:effectExtent l="0" t="0" r="0" b="0"/>
          <wp:docPr id="4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5800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3D676" w14:textId="77777777" w:rsidR="001376E7" w:rsidRDefault="001376E7">
    <w:pPr>
      <w:pStyle w:val="Zhlav"/>
      <w:spacing w:after="192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43" w:type="dxa"/>
      <w:tblBorders>
        <w:top w:val="dotted" w:sz="4" w:space="0" w:color="FFFFFF"/>
        <w:left w:val="dotted" w:sz="4" w:space="0" w:color="FFFFFF"/>
        <w:bottom w:val="dotted" w:sz="4" w:space="0" w:color="FFFFFF"/>
        <w:right w:val="dotted" w:sz="4" w:space="0" w:color="FFFFFF"/>
        <w:insideV w:val="dotted" w:sz="4" w:space="0" w:color="FFFFFF"/>
      </w:tblBorders>
      <w:tblLayout w:type="fixed"/>
      <w:tblLook w:val="0000" w:firstRow="0" w:lastRow="0" w:firstColumn="0" w:lastColumn="0" w:noHBand="0" w:noVBand="0"/>
    </w:tblPr>
    <w:tblGrid>
      <w:gridCol w:w="5973"/>
      <w:gridCol w:w="4870"/>
    </w:tblGrid>
    <w:tr w:rsidR="002132CC" w14:paraId="46053E37" w14:textId="77777777" w:rsidTr="00DF79C4">
      <w:trPr>
        <w:trHeight w:val="1979"/>
      </w:trPr>
      <w:tc>
        <w:tcPr>
          <w:tcW w:w="5973" w:type="dxa"/>
        </w:tcPr>
        <w:p w14:paraId="2EF1AB5D" w14:textId="7BEE509F" w:rsidR="002132CC" w:rsidRDefault="00254716">
          <w:pPr>
            <w:pStyle w:val="Zhlav"/>
            <w:spacing w:before="60" w:after="192"/>
            <w:rPr>
              <w:rFonts w:ascii="Times New Roman" w:hAnsi="Times New Roman"/>
            </w:rPr>
          </w:pPr>
          <w:r>
            <w:drawing>
              <wp:anchor distT="0" distB="0" distL="114300" distR="114300" simplePos="0" relativeHeight="251657728" behindDoc="1" locked="0" layoutInCell="1" allowOverlap="1" wp14:anchorId="10648D36" wp14:editId="1C86D6E2">
                <wp:simplePos x="0" y="0"/>
                <wp:positionH relativeFrom="column">
                  <wp:posOffset>-2463165</wp:posOffset>
                </wp:positionH>
                <wp:positionV relativeFrom="paragraph">
                  <wp:posOffset>635</wp:posOffset>
                </wp:positionV>
                <wp:extent cx="2187575" cy="1038225"/>
                <wp:effectExtent l="0" t="0" r="0" b="0"/>
                <wp:wrapTight wrapText="bothSides">
                  <wp:wrapPolygon edited="0">
                    <wp:start x="0" y="396"/>
                    <wp:lineTo x="0" y="21402"/>
                    <wp:lineTo x="21443" y="21402"/>
                    <wp:lineTo x="21443" y="396"/>
                    <wp:lineTo x="0" y="396"/>
                  </wp:wrapPolygon>
                </wp:wrapTight>
                <wp:docPr id="2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686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87575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70" w:type="dxa"/>
        </w:tcPr>
        <w:p w14:paraId="0847D00D" w14:textId="77777777" w:rsidR="002132CC" w:rsidRPr="000663DE" w:rsidRDefault="002132CC" w:rsidP="000663DE">
          <w:pPr>
            <w:spacing w:after="192"/>
          </w:pPr>
        </w:p>
      </w:tc>
    </w:tr>
  </w:tbl>
  <w:p w14:paraId="5230A65C" w14:textId="77777777" w:rsidR="002132CC" w:rsidRDefault="002132CC">
    <w:pPr>
      <w:pStyle w:val="Zhlav"/>
      <w:spacing w:after="192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128A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</w:abstractNum>
  <w:abstractNum w:abstractNumId="1" w15:restartNumberingAfterBreak="0">
    <w:nsid w:val="0B5C7C89"/>
    <w:multiLevelType w:val="hybridMultilevel"/>
    <w:tmpl w:val="D6AC09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0C9437FF"/>
    <w:multiLevelType w:val="hybridMultilevel"/>
    <w:tmpl w:val="0DD2990E"/>
    <w:lvl w:ilvl="0" w:tplc="FB7C63C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0D9C5ADB"/>
    <w:multiLevelType w:val="hybridMultilevel"/>
    <w:tmpl w:val="315E28E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Times New Roman" w:hint="default"/>
      </w:rPr>
    </w:lvl>
  </w:abstractNum>
  <w:abstractNum w:abstractNumId="4" w15:restartNumberingAfterBreak="0">
    <w:nsid w:val="0E1202E0"/>
    <w:multiLevelType w:val="hybridMultilevel"/>
    <w:tmpl w:val="17B8487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5901E4"/>
    <w:multiLevelType w:val="hybridMultilevel"/>
    <w:tmpl w:val="21762D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Times New Roman" w:hint="default"/>
      </w:rPr>
    </w:lvl>
  </w:abstractNum>
  <w:abstractNum w:abstractNumId="6" w15:restartNumberingAfterBreak="0">
    <w:nsid w:val="1C202BBE"/>
    <w:multiLevelType w:val="hybridMultilevel"/>
    <w:tmpl w:val="86143E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EE5719"/>
    <w:multiLevelType w:val="hybridMultilevel"/>
    <w:tmpl w:val="3266E1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8" w15:restartNumberingAfterBreak="0">
    <w:nsid w:val="30BA7E2B"/>
    <w:multiLevelType w:val="hybridMultilevel"/>
    <w:tmpl w:val="F8DCCA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3335C"/>
    <w:multiLevelType w:val="hybridMultilevel"/>
    <w:tmpl w:val="C6482AFA"/>
    <w:lvl w:ilvl="0" w:tplc="B65C9F1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447F91"/>
    <w:multiLevelType w:val="hybridMultilevel"/>
    <w:tmpl w:val="6E4CC458"/>
    <w:lvl w:ilvl="0" w:tplc="E708D6E4">
      <w:start w:val="1"/>
      <w:numFmt w:val="bullet"/>
      <w:lvlText w:val=""/>
      <w:lvlJc w:val="left"/>
      <w:pPr>
        <w:ind w:left="36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36715195"/>
    <w:multiLevelType w:val="hybridMultilevel"/>
    <w:tmpl w:val="0E1E11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Times New Roman" w:hint="default"/>
      </w:rPr>
    </w:lvl>
  </w:abstractNum>
  <w:abstractNum w:abstractNumId="12" w15:restartNumberingAfterBreak="0">
    <w:nsid w:val="373235F5"/>
    <w:multiLevelType w:val="hybridMultilevel"/>
    <w:tmpl w:val="7A3E38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3" w15:restartNumberingAfterBreak="0">
    <w:nsid w:val="426F4EC9"/>
    <w:multiLevelType w:val="hybridMultilevel"/>
    <w:tmpl w:val="A1DAAB3E"/>
    <w:lvl w:ilvl="0" w:tplc="C83ACB88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DF29D8"/>
    <w:multiLevelType w:val="hybridMultilevel"/>
    <w:tmpl w:val="140459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5" w15:restartNumberingAfterBreak="0">
    <w:nsid w:val="487579BC"/>
    <w:multiLevelType w:val="hybridMultilevel"/>
    <w:tmpl w:val="5B82F634"/>
    <w:lvl w:ilvl="0" w:tplc="E31679F6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87794E"/>
    <w:multiLevelType w:val="hybridMultilevel"/>
    <w:tmpl w:val="CD3C2D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7" w15:restartNumberingAfterBreak="0">
    <w:nsid w:val="63673F3B"/>
    <w:multiLevelType w:val="hybridMultilevel"/>
    <w:tmpl w:val="0AF6C7FE"/>
    <w:lvl w:ilvl="0" w:tplc="E708D6E4">
      <w:start w:val="1"/>
      <w:numFmt w:val="bullet"/>
      <w:lvlText w:val=""/>
      <w:lvlJc w:val="left"/>
      <w:pPr>
        <w:ind w:left="36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Times New Roman" w:hint="default"/>
      </w:rPr>
    </w:lvl>
  </w:abstractNum>
  <w:abstractNum w:abstractNumId="18" w15:restartNumberingAfterBreak="0">
    <w:nsid w:val="6439383B"/>
    <w:multiLevelType w:val="hybridMultilevel"/>
    <w:tmpl w:val="CEEE00A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C52C16"/>
    <w:multiLevelType w:val="hybridMultilevel"/>
    <w:tmpl w:val="A918960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ADB27CB"/>
    <w:multiLevelType w:val="hybridMultilevel"/>
    <w:tmpl w:val="9D5416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1" w15:restartNumberingAfterBreak="0">
    <w:nsid w:val="6D9F4862"/>
    <w:multiLevelType w:val="hybridMultilevel"/>
    <w:tmpl w:val="21482852"/>
    <w:lvl w:ilvl="0" w:tplc="C83ACB88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BB114E"/>
    <w:multiLevelType w:val="hybridMultilevel"/>
    <w:tmpl w:val="9E9C4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3" w15:restartNumberingAfterBreak="0">
    <w:nsid w:val="72A14917"/>
    <w:multiLevelType w:val="hybridMultilevel"/>
    <w:tmpl w:val="8E70FAB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69C1B8C"/>
    <w:multiLevelType w:val="hybridMultilevel"/>
    <w:tmpl w:val="7FEE45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734846"/>
    <w:multiLevelType w:val="hybridMultilevel"/>
    <w:tmpl w:val="BEF07810"/>
    <w:lvl w:ilvl="0" w:tplc="DFB60D2C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6" w15:restartNumberingAfterBreak="0">
    <w:nsid w:val="7A2541D3"/>
    <w:multiLevelType w:val="multilevel"/>
    <w:tmpl w:val="DC46F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Times New Roman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Times New Roman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Times New Roman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  <w:sz w:val="20"/>
        <w:szCs w:val="20"/>
      </w:rPr>
    </w:lvl>
  </w:abstractNum>
  <w:abstractNum w:abstractNumId="27" w15:restartNumberingAfterBreak="0">
    <w:nsid w:val="7BC51731"/>
    <w:multiLevelType w:val="hybridMultilevel"/>
    <w:tmpl w:val="D1EAA5C0"/>
    <w:lvl w:ilvl="0" w:tplc="041B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7E792F41"/>
    <w:multiLevelType w:val="hybridMultilevel"/>
    <w:tmpl w:val="EC506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29" w15:restartNumberingAfterBreak="0">
    <w:nsid w:val="7EAB47C8"/>
    <w:multiLevelType w:val="hybridMultilevel"/>
    <w:tmpl w:val="F238E12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26"/>
  </w:num>
  <w:num w:numId="5">
    <w:abstractNumId w:val="28"/>
  </w:num>
  <w:num w:numId="6">
    <w:abstractNumId w:val="16"/>
  </w:num>
  <w:num w:numId="7">
    <w:abstractNumId w:val="22"/>
  </w:num>
  <w:num w:numId="8">
    <w:abstractNumId w:val="2"/>
  </w:num>
  <w:num w:numId="9">
    <w:abstractNumId w:val="7"/>
  </w:num>
  <w:num w:numId="10">
    <w:abstractNumId w:val="10"/>
  </w:num>
  <w:num w:numId="11">
    <w:abstractNumId w:val="17"/>
  </w:num>
  <w:num w:numId="12">
    <w:abstractNumId w:val="3"/>
  </w:num>
  <w:num w:numId="13">
    <w:abstractNumId w:val="14"/>
  </w:num>
  <w:num w:numId="14">
    <w:abstractNumId w:val="20"/>
  </w:num>
  <w:num w:numId="15">
    <w:abstractNumId w:val="13"/>
  </w:num>
  <w:num w:numId="16">
    <w:abstractNumId w:val="21"/>
  </w:num>
  <w:num w:numId="17">
    <w:abstractNumId w:val="29"/>
  </w:num>
  <w:num w:numId="18">
    <w:abstractNumId w:val="23"/>
  </w:num>
  <w:num w:numId="19">
    <w:abstractNumId w:val="11"/>
  </w:num>
  <w:num w:numId="20">
    <w:abstractNumId w:val="5"/>
  </w:num>
  <w:num w:numId="21">
    <w:abstractNumId w:val="25"/>
  </w:num>
  <w:num w:numId="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</w:num>
  <w:num w:numId="26">
    <w:abstractNumId w:val="24"/>
  </w:num>
  <w:num w:numId="27">
    <w:abstractNumId w:val="15"/>
  </w:num>
  <w:num w:numId="28">
    <w:abstractNumId w:val="9"/>
  </w:num>
  <w:num w:numId="29">
    <w:abstractNumId w:val="8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716"/>
    <w:rsid w:val="00005A52"/>
    <w:rsid w:val="0001016D"/>
    <w:rsid w:val="000102B6"/>
    <w:rsid w:val="000119F8"/>
    <w:rsid w:val="000122DE"/>
    <w:rsid w:val="00026482"/>
    <w:rsid w:val="00034A97"/>
    <w:rsid w:val="00034DB3"/>
    <w:rsid w:val="000375AA"/>
    <w:rsid w:val="0004309F"/>
    <w:rsid w:val="0005224D"/>
    <w:rsid w:val="000527AC"/>
    <w:rsid w:val="00061C08"/>
    <w:rsid w:val="000663DE"/>
    <w:rsid w:val="00066556"/>
    <w:rsid w:val="0006690C"/>
    <w:rsid w:val="000708F2"/>
    <w:rsid w:val="00070907"/>
    <w:rsid w:val="00073E74"/>
    <w:rsid w:val="000774D4"/>
    <w:rsid w:val="0007787D"/>
    <w:rsid w:val="000821E4"/>
    <w:rsid w:val="000846E5"/>
    <w:rsid w:val="00092DFC"/>
    <w:rsid w:val="00092F45"/>
    <w:rsid w:val="000A05A5"/>
    <w:rsid w:val="000B475C"/>
    <w:rsid w:val="000C501B"/>
    <w:rsid w:val="000D1D63"/>
    <w:rsid w:val="000D3AC2"/>
    <w:rsid w:val="000E3AD3"/>
    <w:rsid w:val="000E3F65"/>
    <w:rsid w:val="000F3931"/>
    <w:rsid w:val="000F7D6A"/>
    <w:rsid w:val="00100DCD"/>
    <w:rsid w:val="00107B0D"/>
    <w:rsid w:val="00125401"/>
    <w:rsid w:val="00125943"/>
    <w:rsid w:val="00125AEE"/>
    <w:rsid w:val="001376E7"/>
    <w:rsid w:val="00145A25"/>
    <w:rsid w:val="001463BF"/>
    <w:rsid w:val="0014684C"/>
    <w:rsid w:val="001549CA"/>
    <w:rsid w:val="00174639"/>
    <w:rsid w:val="001803EE"/>
    <w:rsid w:val="00185E7C"/>
    <w:rsid w:val="001868DD"/>
    <w:rsid w:val="00186DB7"/>
    <w:rsid w:val="001915BE"/>
    <w:rsid w:val="001A061E"/>
    <w:rsid w:val="001A09BB"/>
    <w:rsid w:val="001B7A37"/>
    <w:rsid w:val="001C1C98"/>
    <w:rsid w:val="001C2741"/>
    <w:rsid w:val="001C41BE"/>
    <w:rsid w:val="001D7D32"/>
    <w:rsid w:val="001E0846"/>
    <w:rsid w:val="001E1A53"/>
    <w:rsid w:val="001E4305"/>
    <w:rsid w:val="001F0038"/>
    <w:rsid w:val="001F30F1"/>
    <w:rsid w:val="001F5441"/>
    <w:rsid w:val="00210AFE"/>
    <w:rsid w:val="00210B93"/>
    <w:rsid w:val="00212994"/>
    <w:rsid w:val="002132CC"/>
    <w:rsid w:val="00223E1A"/>
    <w:rsid w:val="00224586"/>
    <w:rsid w:val="00231C89"/>
    <w:rsid w:val="00234D4D"/>
    <w:rsid w:val="0024187D"/>
    <w:rsid w:val="00254716"/>
    <w:rsid w:val="002759A0"/>
    <w:rsid w:val="002875E9"/>
    <w:rsid w:val="002A2892"/>
    <w:rsid w:val="002A2F3E"/>
    <w:rsid w:val="002B05E0"/>
    <w:rsid w:val="002B562E"/>
    <w:rsid w:val="002C0038"/>
    <w:rsid w:val="002C2C26"/>
    <w:rsid w:val="002C67CC"/>
    <w:rsid w:val="002D122C"/>
    <w:rsid w:val="002E3B38"/>
    <w:rsid w:val="002F3064"/>
    <w:rsid w:val="002F468B"/>
    <w:rsid w:val="002F72C2"/>
    <w:rsid w:val="003006BF"/>
    <w:rsid w:val="003029A1"/>
    <w:rsid w:val="00310085"/>
    <w:rsid w:val="003108FE"/>
    <w:rsid w:val="00313724"/>
    <w:rsid w:val="00314ECB"/>
    <w:rsid w:val="0031614D"/>
    <w:rsid w:val="00316355"/>
    <w:rsid w:val="003166C8"/>
    <w:rsid w:val="00327977"/>
    <w:rsid w:val="003310F4"/>
    <w:rsid w:val="0034134C"/>
    <w:rsid w:val="0034259A"/>
    <w:rsid w:val="0034282F"/>
    <w:rsid w:val="00343AB3"/>
    <w:rsid w:val="003519C9"/>
    <w:rsid w:val="003651F5"/>
    <w:rsid w:val="003804FD"/>
    <w:rsid w:val="00382303"/>
    <w:rsid w:val="00382DA7"/>
    <w:rsid w:val="003932D0"/>
    <w:rsid w:val="003958FD"/>
    <w:rsid w:val="003A4094"/>
    <w:rsid w:val="003B5DB7"/>
    <w:rsid w:val="003B78DA"/>
    <w:rsid w:val="003C1F9B"/>
    <w:rsid w:val="003C4A8A"/>
    <w:rsid w:val="003D19ED"/>
    <w:rsid w:val="003D4AE2"/>
    <w:rsid w:val="003E3ECB"/>
    <w:rsid w:val="003E49DC"/>
    <w:rsid w:val="003F14A7"/>
    <w:rsid w:val="003F6640"/>
    <w:rsid w:val="00410E19"/>
    <w:rsid w:val="0041445E"/>
    <w:rsid w:val="00415B38"/>
    <w:rsid w:val="004212F7"/>
    <w:rsid w:val="004245A2"/>
    <w:rsid w:val="00433E7D"/>
    <w:rsid w:val="00440F40"/>
    <w:rsid w:val="00442272"/>
    <w:rsid w:val="0044248F"/>
    <w:rsid w:val="00450DF8"/>
    <w:rsid w:val="00451765"/>
    <w:rsid w:val="00456B4D"/>
    <w:rsid w:val="00461978"/>
    <w:rsid w:val="00463E3F"/>
    <w:rsid w:val="00464C2F"/>
    <w:rsid w:val="00474BB9"/>
    <w:rsid w:val="0048653B"/>
    <w:rsid w:val="00494934"/>
    <w:rsid w:val="004A182B"/>
    <w:rsid w:val="004A3316"/>
    <w:rsid w:val="004B32A8"/>
    <w:rsid w:val="004B6071"/>
    <w:rsid w:val="004B7512"/>
    <w:rsid w:val="004C2B93"/>
    <w:rsid w:val="004C7BDF"/>
    <w:rsid w:val="004C7E02"/>
    <w:rsid w:val="004D02B0"/>
    <w:rsid w:val="004D0C87"/>
    <w:rsid w:val="004D32DB"/>
    <w:rsid w:val="004D59C5"/>
    <w:rsid w:val="004E2B46"/>
    <w:rsid w:val="0050096E"/>
    <w:rsid w:val="005048FC"/>
    <w:rsid w:val="005157C3"/>
    <w:rsid w:val="00515F7E"/>
    <w:rsid w:val="0051648E"/>
    <w:rsid w:val="00517F75"/>
    <w:rsid w:val="00525E1D"/>
    <w:rsid w:val="0053282A"/>
    <w:rsid w:val="0053301D"/>
    <w:rsid w:val="0053678C"/>
    <w:rsid w:val="0054204E"/>
    <w:rsid w:val="005463D0"/>
    <w:rsid w:val="00566664"/>
    <w:rsid w:val="00571D4A"/>
    <w:rsid w:val="00577840"/>
    <w:rsid w:val="00580DDA"/>
    <w:rsid w:val="0058190E"/>
    <w:rsid w:val="00581AC4"/>
    <w:rsid w:val="005823D5"/>
    <w:rsid w:val="0059263D"/>
    <w:rsid w:val="005B4EDE"/>
    <w:rsid w:val="005B6153"/>
    <w:rsid w:val="005B676E"/>
    <w:rsid w:val="005B7052"/>
    <w:rsid w:val="005B735B"/>
    <w:rsid w:val="005C1E8F"/>
    <w:rsid w:val="005C36C0"/>
    <w:rsid w:val="005C41D9"/>
    <w:rsid w:val="005D0C03"/>
    <w:rsid w:val="005D2C8C"/>
    <w:rsid w:val="005D392B"/>
    <w:rsid w:val="005F44C8"/>
    <w:rsid w:val="0060368E"/>
    <w:rsid w:val="0060696E"/>
    <w:rsid w:val="00612A5C"/>
    <w:rsid w:val="00613425"/>
    <w:rsid w:val="00616E37"/>
    <w:rsid w:val="00633490"/>
    <w:rsid w:val="00640955"/>
    <w:rsid w:val="006500D7"/>
    <w:rsid w:val="00651CD6"/>
    <w:rsid w:val="00655342"/>
    <w:rsid w:val="00660900"/>
    <w:rsid w:val="00661103"/>
    <w:rsid w:val="00662A0F"/>
    <w:rsid w:val="00666AF1"/>
    <w:rsid w:val="00667751"/>
    <w:rsid w:val="00672CDB"/>
    <w:rsid w:val="00673ABD"/>
    <w:rsid w:val="00674553"/>
    <w:rsid w:val="00681E6B"/>
    <w:rsid w:val="006839BB"/>
    <w:rsid w:val="00697FC6"/>
    <w:rsid w:val="006A4D8E"/>
    <w:rsid w:val="006B2D54"/>
    <w:rsid w:val="006C3FF5"/>
    <w:rsid w:val="006D5A48"/>
    <w:rsid w:val="006E016B"/>
    <w:rsid w:val="006F5A47"/>
    <w:rsid w:val="0070216E"/>
    <w:rsid w:val="00703A3E"/>
    <w:rsid w:val="00705B1F"/>
    <w:rsid w:val="00713EFE"/>
    <w:rsid w:val="00720F46"/>
    <w:rsid w:val="00733672"/>
    <w:rsid w:val="007356E0"/>
    <w:rsid w:val="00735825"/>
    <w:rsid w:val="00753340"/>
    <w:rsid w:val="007559FD"/>
    <w:rsid w:val="007660CC"/>
    <w:rsid w:val="00776D8D"/>
    <w:rsid w:val="00777E73"/>
    <w:rsid w:val="0078187E"/>
    <w:rsid w:val="00782104"/>
    <w:rsid w:val="007847DF"/>
    <w:rsid w:val="00787C24"/>
    <w:rsid w:val="0079136B"/>
    <w:rsid w:val="0079153C"/>
    <w:rsid w:val="007A4AFF"/>
    <w:rsid w:val="007A590A"/>
    <w:rsid w:val="007B3C66"/>
    <w:rsid w:val="007B7C38"/>
    <w:rsid w:val="007C0D0D"/>
    <w:rsid w:val="007C1AA5"/>
    <w:rsid w:val="007D08D1"/>
    <w:rsid w:val="007D4188"/>
    <w:rsid w:val="007D4FAF"/>
    <w:rsid w:val="007E0077"/>
    <w:rsid w:val="007E25B9"/>
    <w:rsid w:val="007F419B"/>
    <w:rsid w:val="007F5F45"/>
    <w:rsid w:val="007F6515"/>
    <w:rsid w:val="00801E50"/>
    <w:rsid w:val="008020A7"/>
    <w:rsid w:val="00810E14"/>
    <w:rsid w:val="00817D7A"/>
    <w:rsid w:val="008442AF"/>
    <w:rsid w:val="00844D44"/>
    <w:rsid w:val="008457D0"/>
    <w:rsid w:val="00846865"/>
    <w:rsid w:val="00847987"/>
    <w:rsid w:val="008549F4"/>
    <w:rsid w:val="00854BFC"/>
    <w:rsid w:val="008564D7"/>
    <w:rsid w:val="00865EC3"/>
    <w:rsid w:val="008665FF"/>
    <w:rsid w:val="0087244F"/>
    <w:rsid w:val="00876AC6"/>
    <w:rsid w:val="0088517B"/>
    <w:rsid w:val="0088633E"/>
    <w:rsid w:val="008922A1"/>
    <w:rsid w:val="008A6E9C"/>
    <w:rsid w:val="008B64FA"/>
    <w:rsid w:val="008C34B3"/>
    <w:rsid w:val="008C398E"/>
    <w:rsid w:val="008C3B28"/>
    <w:rsid w:val="008D0B84"/>
    <w:rsid w:val="008D12FA"/>
    <w:rsid w:val="008D461D"/>
    <w:rsid w:val="008E1EA2"/>
    <w:rsid w:val="008E4B4C"/>
    <w:rsid w:val="008E61FD"/>
    <w:rsid w:val="008F3660"/>
    <w:rsid w:val="008F6F3B"/>
    <w:rsid w:val="0090115E"/>
    <w:rsid w:val="0090612B"/>
    <w:rsid w:val="00917549"/>
    <w:rsid w:val="0092188C"/>
    <w:rsid w:val="00925253"/>
    <w:rsid w:val="00942A1F"/>
    <w:rsid w:val="009433AE"/>
    <w:rsid w:val="00962A17"/>
    <w:rsid w:val="00984B5E"/>
    <w:rsid w:val="009853AF"/>
    <w:rsid w:val="0098607C"/>
    <w:rsid w:val="00992C20"/>
    <w:rsid w:val="00992F2A"/>
    <w:rsid w:val="0099792E"/>
    <w:rsid w:val="009B2629"/>
    <w:rsid w:val="009C0BB4"/>
    <w:rsid w:val="009C316F"/>
    <w:rsid w:val="009C3377"/>
    <w:rsid w:val="009D3EC8"/>
    <w:rsid w:val="009D62C4"/>
    <w:rsid w:val="009E7511"/>
    <w:rsid w:val="00A126B8"/>
    <w:rsid w:val="00A156DA"/>
    <w:rsid w:val="00A16BDB"/>
    <w:rsid w:val="00A26E92"/>
    <w:rsid w:val="00A324B9"/>
    <w:rsid w:val="00A35227"/>
    <w:rsid w:val="00A40D6C"/>
    <w:rsid w:val="00A42DC3"/>
    <w:rsid w:val="00A500AF"/>
    <w:rsid w:val="00A523D4"/>
    <w:rsid w:val="00A5296F"/>
    <w:rsid w:val="00A67F1E"/>
    <w:rsid w:val="00A72EF6"/>
    <w:rsid w:val="00A77F31"/>
    <w:rsid w:val="00A81931"/>
    <w:rsid w:val="00AA3F5A"/>
    <w:rsid w:val="00AB787A"/>
    <w:rsid w:val="00AC014F"/>
    <w:rsid w:val="00AC2772"/>
    <w:rsid w:val="00AC5D48"/>
    <w:rsid w:val="00AD105D"/>
    <w:rsid w:val="00AD26A1"/>
    <w:rsid w:val="00AE3569"/>
    <w:rsid w:val="00AE56BF"/>
    <w:rsid w:val="00AE5B9B"/>
    <w:rsid w:val="00AF0FC0"/>
    <w:rsid w:val="00AF5768"/>
    <w:rsid w:val="00AF6DFA"/>
    <w:rsid w:val="00B034D1"/>
    <w:rsid w:val="00B156D9"/>
    <w:rsid w:val="00B16B80"/>
    <w:rsid w:val="00B2087E"/>
    <w:rsid w:val="00B220C4"/>
    <w:rsid w:val="00B24D4A"/>
    <w:rsid w:val="00B254C3"/>
    <w:rsid w:val="00B26524"/>
    <w:rsid w:val="00B3064F"/>
    <w:rsid w:val="00B30F2A"/>
    <w:rsid w:val="00B327C2"/>
    <w:rsid w:val="00B33559"/>
    <w:rsid w:val="00B35830"/>
    <w:rsid w:val="00B3702C"/>
    <w:rsid w:val="00B454F4"/>
    <w:rsid w:val="00B5268D"/>
    <w:rsid w:val="00B55D2C"/>
    <w:rsid w:val="00B61B66"/>
    <w:rsid w:val="00B6279B"/>
    <w:rsid w:val="00B635F5"/>
    <w:rsid w:val="00B64E24"/>
    <w:rsid w:val="00B66465"/>
    <w:rsid w:val="00B67253"/>
    <w:rsid w:val="00B8300B"/>
    <w:rsid w:val="00B83B8B"/>
    <w:rsid w:val="00B86B7C"/>
    <w:rsid w:val="00B94C44"/>
    <w:rsid w:val="00B950E9"/>
    <w:rsid w:val="00B97EE2"/>
    <w:rsid w:val="00BA09C0"/>
    <w:rsid w:val="00BA736B"/>
    <w:rsid w:val="00BA7F99"/>
    <w:rsid w:val="00BC4303"/>
    <w:rsid w:val="00BD733C"/>
    <w:rsid w:val="00BE1514"/>
    <w:rsid w:val="00BE45E8"/>
    <w:rsid w:val="00BE4F21"/>
    <w:rsid w:val="00BE5C40"/>
    <w:rsid w:val="00BE736C"/>
    <w:rsid w:val="00BF0D15"/>
    <w:rsid w:val="00BF601A"/>
    <w:rsid w:val="00C06C21"/>
    <w:rsid w:val="00C13A91"/>
    <w:rsid w:val="00C2195A"/>
    <w:rsid w:val="00C23C1A"/>
    <w:rsid w:val="00C2439B"/>
    <w:rsid w:val="00C3042F"/>
    <w:rsid w:val="00C31A52"/>
    <w:rsid w:val="00C33173"/>
    <w:rsid w:val="00C3508F"/>
    <w:rsid w:val="00C35658"/>
    <w:rsid w:val="00C41C41"/>
    <w:rsid w:val="00C42F7B"/>
    <w:rsid w:val="00C53CB4"/>
    <w:rsid w:val="00C66B21"/>
    <w:rsid w:val="00C70647"/>
    <w:rsid w:val="00C75407"/>
    <w:rsid w:val="00C91BBA"/>
    <w:rsid w:val="00C92F1B"/>
    <w:rsid w:val="00C935F4"/>
    <w:rsid w:val="00C95CE1"/>
    <w:rsid w:val="00CA2B1E"/>
    <w:rsid w:val="00CD22C0"/>
    <w:rsid w:val="00CF0D19"/>
    <w:rsid w:val="00CF39A6"/>
    <w:rsid w:val="00D04F98"/>
    <w:rsid w:val="00D12BB8"/>
    <w:rsid w:val="00D14097"/>
    <w:rsid w:val="00D14EFE"/>
    <w:rsid w:val="00D16390"/>
    <w:rsid w:val="00D20C8E"/>
    <w:rsid w:val="00D20D75"/>
    <w:rsid w:val="00D212BE"/>
    <w:rsid w:val="00D21A9E"/>
    <w:rsid w:val="00D23060"/>
    <w:rsid w:val="00D26B4A"/>
    <w:rsid w:val="00D309D6"/>
    <w:rsid w:val="00D32054"/>
    <w:rsid w:val="00D33F68"/>
    <w:rsid w:val="00D41588"/>
    <w:rsid w:val="00D44611"/>
    <w:rsid w:val="00D66599"/>
    <w:rsid w:val="00D728F5"/>
    <w:rsid w:val="00D8609A"/>
    <w:rsid w:val="00D87E99"/>
    <w:rsid w:val="00D9262C"/>
    <w:rsid w:val="00D972CF"/>
    <w:rsid w:val="00DA4099"/>
    <w:rsid w:val="00DA43F0"/>
    <w:rsid w:val="00DB4591"/>
    <w:rsid w:val="00DB4FCA"/>
    <w:rsid w:val="00DC2EC6"/>
    <w:rsid w:val="00DC597E"/>
    <w:rsid w:val="00DC783D"/>
    <w:rsid w:val="00DD0DE2"/>
    <w:rsid w:val="00DE184B"/>
    <w:rsid w:val="00DE2514"/>
    <w:rsid w:val="00DE7ED9"/>
    <w:rsid w:val="00DF1791"/>
    <w:rsid w:val="00DF2792"/>
    <w:rsid w:val="00DF2D45"/>
    <w:rsid w:val="00DF44B3"/>
    <w:rsid w:val="00DF79C4"/>
    <w:rsid w:val="00E01D5C"/>
    <w:rsid w:val="00E054D4"/>
    <w:rsid w:val="00E30FE3"/>
    <w:rsid w:val="00E423B9"/>
    <w:rsid w:val="00E46C6E"/>
    <w:rsid w:val="00E54FF3"/>
    <w:rsid w:val="00E56E1A"/>
    <w:rsid w:val="00E6730B"/>
    <w:rsid w:val="00E74AF4"/>
    <w:rsid w:val="00E7675B"/>
    <w:rsid w:val="00E83541"/>
    <w:rsid w:val="00E876C2"/>
    <w:rsid w:val="00E94CAD"/>
    <w:rsid w:val="00EA4089"/>
    <w:rsid w:val="00EB4491"/>
    <w:rsid w:val="00EB5320"/>
    <w:rsid w:val="00EB7946"/>
    <w:rsid w:val="00EC0787"/>
    <w:rsid w:val="00ED4253"/>
    <w:rsid w:val="00EE5E52"/>
    <w:rsid w:val="00EE6EA1"/>
    <w:rsid w:val="00EF621C"/>
    <w:rsid w:val="00EF673D"/>
    <w:rsid w:val="00EF75C4"/>
    <w:rsid w:val="00F1157B"/>
    <w:rsid w:val="00F1466E"/>
    <w:rsid w:val="00F328B5"/>
    <w:rsid w:val="00F3502B"/>
    <w:rsid w:val="00F35891"/>
    <w:rsid w:val="00F4033F"/>
    <w:rsid w:val="00F415D6"/>
    <w:rsid w:val="00F564B7"/>
    <w:rsid w:val="00F61CF7"/>
    <w:rsid w:val="00F75E8B"/>
    <w:rsid w:val="00F8175D"/>
    <w:rsid w:val="00F81F5C"/>
    <w:rsid w:val="00F83032"/>
    <w:rsid w:val="00F85570"/>
    <w:rsid w:val="00FA2A77"/>
    <w:rsid w:val="00FB20A1"/>
    <w:rsid w:val="00FB3DE8"/>
    <w:rsid w:val="00FC206B"/>
    <w:rsid w:val="00FC588F"/>
    <w:rsid w:val="00FC5FC1"/>
    <w:rsid w:val="00FC799E"/>
    <w:rsid w:val="00FD7F97"/>
    <w:rsid w:val="00FE21DA"/>
    <w:rsid w:val="00FF2D97"/>
    <w:rsid w:val="00FF3930"/>
    <w:rsid w:val="00FF512A"/>
    <w:rsid w:val="00FF54C5"/>
    <w:rsid w:val="00FF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24A35C"/>
  <w15:chartTrackingRefBased/>
  <w15:docId w15:val="{9B4999AC-CE90-458A-8386-8F6DBCD62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E50"/>
    <w:pPr>
      <w:spacing w:afterLines="80" w:after="80" w:line="300" w:lineRule="auto"/>
      <w:jc w:val="both"/>
    </w:pPr>
    <w:rPr>
      <w:rFonts w:ascii="Arial" w:hAnsi="Arial" w:cs="Arial"/>
      <w:noProof/>
      <w:snapToGrid w:val="0"/>
      <w:lang w:eastAsia="en-US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b/>
      <w:bCs/>
      <w:kern w:val="28"/>
      <w:sz w:val="28"/>
      <w:szCs w:val="28"/>
      <w:lang w:val="sk-SK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spacing w:line="240" w:lineRule="atLeast"/>
      <w:outlineLvl w:val="2"/>
    </w:pPr>
    <w:rPr>
      <w:b/>
      <w:bCs/>
      <w:color w:val="000000"/>
      <w:lang w:val="en-GB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bCs/>
      <w:sz w:val="24"/>
      <w:szCs w:val="24"/>
      <w:lang w:val="en-GB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pPr>
      <w:tabs>
        <w:tab w:val="center" w:pos="4153"/>
        <w:tab w:val="right" w:pos="8306"/>
      </w:tabs>
    </w:pPr>
  </w:style>
  <w:style w:type="paragraph" w:styleId="Zpat">
    <w:name w:val="footer"/>
    <w:basedOn w:val="Normln"/>
    <w:semiHidden/>
    <w:pPr>
      <w:tabs>
        <w:tab w:val="center" w:pos="4153"/>
        <w:tab w:val="right" w:pos="8306"/>
      </w:tabs>
    </w:pPr>
  </w:style>
  <w:style w:type="paragraph" w:customStyle="1" w:styleId="ABLOCKPARA">
    <w:name w:val="A BLOCK PARA"/>
    <w:basedOn w:val="Normln"/>
    <w:rPr>
      <w:lang w:val="sk-SK"/>
    </w:rPr>
  </w:style>
  <w:style w:type="character" w:styleId="Hypertextovodkaz">
    <w:name w:val="Hyperlink"/>
    <w:uiPriority w:val="99"/>
    <w:rPr>
      <w:color w:val="0000FF"/>
      <w:u w:val="single"/>
    </w:rPr>
  </w:style>
  <w:style w:type="paragraph" w:styleId="Zkladntext">
    <w:name w:val="Body Text"/>
    <w:basedOn w:val="Normln"/>
    <w:semiHidden/>
    <w:rPr>
      <w:lang w:val="sk-SK"/>
    </w:rPr>
  </w:style>
  <w:style w:type="paragraph" w:customStyle="1" w:styleId="FormtovanvHTML1">
    <w:name w:val="Formátovaný v HTML1"/>
    <w:basedOn w:val="Normln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imes New Roman" w:hAnsi="Times New Roman"/>
    </w:rPr>
  </w:style>
  <w:style w:type="paragraph" w:styleId="Zkladntextodsazen">
    <w:name w:val="Body Text Indent"/>
    <w:basedOn w:val="Normln"/>
    <w:semiHidden/>
    <w:rPr>
      <w:rFonts w:ascii="Times New Roman" w:hAnsi="Times New Roman"/>
      <w:sz w:val="24"/>
      <w:szCs w:val="24"/>
    </w:rPr>
  </w:style>
  <w:style w:type="character" w:customStyle="1" w:styleId="bod1">
    <w:name w:val="bod1"/>
    <w:rPr>
      <w:rFonts w:ascii="Arial" w:hAnsi="Arial" w:cs="Arial"/>
      <w:sz w:val="18"/>
      <w:szCs w:val="18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sz w:val="18"/>
      <w:szCs w:val="18"/>
      <w:lang w:val="en-GB"/>
    </w:rPr>
  </w:style>
  <w:style w:type="character" w:styleId="Siln">
    <w:name w:val="Strong"/>
    <w:uiPriority w:val="22"/>
    <w:qFormat/>
    <w:rPr>
      <w:b/>
      <w:bCs/>
    </w:rPr>
  </w:style>
  <w:style w:type="paragraph" w:customStyle="1" w:styleId="Textbubliny1">
    <w:name w:val="Text bubliny1"/>
    <w:basedOn w:val="Normln"/>
    <w:rPr>
      <w:rFonts w:ascii="Times New Roman" w:hAnsi="Times New Roman"/>
      <w:sz w:val="16"/>
      <w:szCs w:val="16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</w:style>
  <w:style w:type="paragraph" w:customStyle="1" w:styleId="Pedmtkomente1">
    <w:name w:val="Předmět komentáře1"/>
    <w:basedOn w:val="Textkomente"/>
    <w:next w:val="Textkomente"/>
    <w:rPr>
      <w:b/>
      <w:bCs/>
    </w:rPr>
  </w:style>
  <w:style w:type="paragraph" w:styleId="Prosttext">
    <w:name w:val="Plain Text"/>
    <w:basedOn w:val="Normln"/>
    <w:semiHidden/>
    <w:rPr>
      <w:rFonts w:ascii="Courier New" w:hAnsi="Courier New" w:cs="Courier New"/>
    </w:rPr>
  </w:style>
  <w:style w:type="character" w:styleId="Sledovanodkaz">
    <w:name w:val="FollowedHyperlink"/>
    <w:semiHidden/>
    <w:rPr>
      <w:color w:val="800080"/>
      <w:u w:val="single"/>
    </w:rPr>
  </w:style>
  <w:style w:type="paragraph" w:customStyle="1" w:styleId="Odstavecseseznamem1">
    <w:name w:val="Odstavec se seznamem1"/>
    <w:basedOn w:val="Normln"/>
    <w:pPr>
      <w:spacing w:after="200" w:line="276" w:lineRule="auto"/>
      <w:ind w:left="720"/>
    </w:pPr>
    <w:rPr>
      <w:rFonts w:ascii="Calibri" w:hAnsi="Calibri"/>
    </w:rPr>
  </w:style>
  <w:style w:type="paragraph" w:customStyle="1" w:styleId="COVNormal">
    <w:name w:val="COV_Normal"/>
    <w:basedOn w:val="Normln"/>
    <w:pPr>
      <w:spacing w:before="120" w:after="120"/>
      <w:ind w:left="2279"/>
    </w:pPr>
  </w:style>
  <w:style w:type="paragraph" w:customStyle="1" w:styleId="default">
    <w:name w:val="default"/>
    <w:basedOn w:val="Normln"/>
    <w:pPr>
      <w:autoSpaceDE w:val="0"/>
      <w:autoSpaceDN w:val="0"/>
    </w:pPr>
    <w:rPr>
      <w:rFonts w:ascii="Times New Roman" w:hAnsi="Times New Roman"/>
      <w:color w:val="000000"/>
      <w:sz w:val="24"/>
      <w:szCs w:val="24"/>
    </w:rPr>
  </w:style>
  <w:style w:type="character" w:customStyle="1" w:styleId="tw4winMark">
    <w:name w:val="tw4winMark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 w:cs="Courier New"/>
      <w:noProof/>
      <w:color w:val="8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6E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56E1A"/>
    <w:rPr>
      <w:rFonts w:ascii="Tahoma" w:hAnsi="Tahoma" w:cs="Tahoma"/>
      <w:snapToGrid w:val="0"/>
      <w:sz w:val="16"/>
      <w:szCs w:val="16"/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40F40"/>
    <w:rPr>
      <w:b/>
      <w:bCs/>
    </w:rPr>
  </w:style>
  <w:style w:type="character" w:customStyle="1" w:styleId="TextkomenteChar">
    <w:name w:val="Text komentáře Char"/>
    <w:link w:val="Textkomente"/>
    <w:uiPriority w:val="99"/>
    <w:rsid w:val="00440F40"/>
    <w:rPr>
      <w:rFonts w:ascii="Book Antiqua" w:hAnsi="Book Antiqua"/>
      <w:snapToGrid w:val="0"/>
      <w:lang w:val="en-US" w:eastAsia="en-US"/>
    </w:rPr>
  </w:style>
  <w:style w:type="character" w:customStyle="1" w:styleId="PedmtkomenteChar">
    <w:name w:val="Předmět komentáře Char"/>
    <w:link w:val="Pedmtkomente"/>
    <w:rsid w:val="00440F40"/>
    <w:rPr>
      <w:rFonts w:ascii="Book Antiqua" w:hAnsi="Book Antiqua"/>
      <w:snapToGrid w:val="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B83B8B"/>
    <w:pPr>
      <w:ind w:left="720"/>
      <w:contextualSpacing/>
    </w:pPr>
  </w:style>
  <w:style w:type="paragraph" w:styleId="Revize">
    <w:name w:val="Revision"/>
    <w:hidden/>
    <w:uiPriority w:val="99"/>
    <w:semiHidden/>
    <w:rsid w:val="007660CC"/>
    <w:rPr>
      <w:rFonts w:ascii="Book Antiqua" w:hAnsi="Book Antiqua"/>
      <w:snapToGrid w:val="0"/>
      <w:sz w:val="22"/>
      <w:szCs w:val="22"/>
      <w:lang w:val="en-US"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034DB3"/>
    <w:rPr>
      <w:rFonts w:ascii="Calibri" w:eastAsia="Calibri" w:hAnsi="Calibri"/>
      <w:snapToGrid/>
      <w:lang w:eastAsia="en-GB"/>
    </w:rPr>
  </w:style>
  <w:style w:type="character" w:customStyle="1" w:styleId="TextpoznpodarouChar">
    <w:name w:val="Text pozn. pod čarou Char"/>
    <w:link w:val="Textpoznpodarou"/>
    <w:uiPriority w:val="99"/>
    <w:rsid w:val="00034DB3"/>
    <w:rPr>
      <w:rFonts w:ascii="Calibri" w:eastAsia="Calibri" w:hAnsi="Calibri"/>
      <w:lang w:val="en-US" w:eastAsia="en-GB"/>
    </w:rPr>
  </w:style>
  <w:style w:type="character" w:styleId="Znakapoznpodarou">
    <w:name w:val="footnote reference"/>
    <w:uiPriority w:val="99"/>
    <w:semiHidden/>
    <w:unhideWhenUsed/>
    <w:rsid w:val="00034DB3"/>
    <w:rPr>
      <w:vertAlign w:val="superscript"/>
    </w:rPr>
  </w:style>
  <w:style w:type="character" w:customStyle="1" w:styleId="ZhlavChar">
    <w:name w:val="Záhlaví Char"/>
    <w:link w:val="Zhlav"/>
    <w:semiHidden/>
    <w:rsid w:val="003006BF"/>
    <w:rPr>
      <w:rFonts w:ascii="Book Antiqua" w:hAnsi="Book Antiqua"/>
      <w:snapToGrid w:val="0"/>
      <w:sz w:val="22"/>
      <w:szCs w:val="22"/>
      <w:lang w:val="en-US" w:eastAsia="en-US"/>
    </w:rPr>
  </w:style>
  <w:style w:type="paragraph" w:styleId="Bezmezer">
    <w:name w:val="No Spacing"/>
    <w:uiPriority w:val="1"/>
    <w:qFormat/>
    <w:rsid w:val="0098607C"/>
    <w:pPr>
      <w:spacing w:afterLines="80"/>
      <w:jc w:val="both"/>
    </w:pPr>
    <w:rPr>
      <w:rFonts w:ascii="Arial" w:hAnsi="Arial" w:cs="Arial"/>
      <w:noProof/>
      <w:snapToGrid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0147">
          <w:marLeft w:val="0"/>
          <w:marRight w:val="0"/>
          <w:marTop w:val="90"/>
          <w:marBottom w:val="75"/>
          <w:divBdr>
            <w:top w:val="dashed" w:sz="6" w:space="5" w:color="B2B2B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146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63532">
          <w:marLeft w:val="0"/>
          <w:marRight w:val="0"/>
          <w:marTop w:val="9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1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nture.com/us-en/insights/consulting/reaching-net-zero-by-2050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mailto:lukas.vejnar@accenture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hyperlink" Target="mailto:marketa.cinkova@aspen.p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ccenture.com/cz-en/about/company/newsro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theme" Target="theme/theme1.xml"/><Relationship Id="rId10" Type="http://schemas.openxmlformats.org/officeDocument/2006/relationships/hyperlink" Target="http://www.accenture.com/" TargetMode="External"/><Relationship Id="rId19" Type="http://schemas.openxmlformats.org/officeDocument/2006/relationships/hyperlink" Target="mailto:petr.jarkovsky@aspen.p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ccenture.com/us-en/insights/consulting/reaching-net-zero-by-2050" TargetMode="Externa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wnloads\TI%20Accenture_Mibcon_cloud%20(1)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8D3A6-2019-4BCE-84AF-81A8D639A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 Accenture_Mibcon_cloud (1)</Template>
  <TotalTime>9</TotalTime>
  <Pages>2</Pages>
  <Words>984</Words>
  <Characters>5807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Accenture</Company>
  <LinksUpToDate>false</LinksUpToDate>
  <CharactersWithSpaces>6778</CharactersWithSpaces>
  <SharedDoc>false</SharedDoc>
  <HLinks>
    <vt:vector size="18" baseType="variant">
      <vt:variant>
        <vt:i4>7667734</vt:i4>
      </vt:variant>
      <vt:variant>
        <vt:i4>6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5832721</vt:i4>
      </vt:variant>
      <vt:variant>
        <vt:i4>0</vt:i4>
      </vt:variant>
      <vt:variant>
        <vt:i4>0</vt:i4>
      </vt:variant>
      <vt:variant>
        <vt:i4>5</vt:i4>
      </vt:variant>
      <vt:variant>
        <vt:lpwstr>http://www.accenture.com/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/>
  <cp:lastModifiedBy>Šárka Lachoutová - ASPEN.PR</cp:lastModifiedBy>
  <cp:revision>2</cp:revision>
  <cp:lastPrinted>2021-11-01T12:35:00Z</cp:lastPrinted>
  <dcterms:created xsi:type="dcterms:W3CDTF">2021-11-13T20:14:00Z</dcterms:created>
  <dcterms:modified xsi:type="dcterms:W3CDTF">2021-11-13T20:14:00Z</dcterms:modified>
</cp:coreProperties>
</file>