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76A4B" w14:textId="77777777" w:rsidR="004C7BDF" w:rsidRPr="00583B75" w:rsidRDefault="004C7BDF" w:rsidP="00713EFE">
      <w:pPr>
        <w:pStyle w:val="Zkladntext"/>
        <w:spacing w:after="192"/>
        <w:jc w:val="left"/>
        <w:rPr>
          <w:sz w:val="28"/>
          <w:szCs w:val="28"/>
          <w:lang w:val="cs-CZ"/>
        </w:rPr>
      </w:pPr>
    </w:p>
    <w:p w14:paraId="7B259B54" w14:textId="3C4B7D41" w:rsidR="002132CC" w:rsidRPr="00583B75" w:rsidRDefault="002132CC" w:rsidP="00713EFE">
      <w:pPr>
        <w:pStyle w:val="Zkladntext"/>
        <w:spacing w:after="192"/>
        <w:jc w:val="left"/>
        <w:rPr>
          <w:sz w:val="28"/>
          <w:szCs w:val="28"/>
          <w:lang w:val="cs-CZ"/>
        </w:rPr>
      </w:pPr>
      <w:r w:rsidRPr="00583B75">
        <w:rPr>
          <w:sz w:val="28"/>
          <w:szCs w:val="28"/>
          <w:lang w:val="cs-CZ"/>
        </w:rPr>
        <w:t>TISKOVÁ ZPRÁVA</w:t>
      </w:r>
      <w:r w:rsidRPr="00583B75">
        <w:rPr>
          <w:sz w:val="28"/>
          <w:szCs w:val="28"/>
          <w:lang w:val="cs-CZ"/>
        </w:rPr>
        <w:tab/>
      </w:r>
      <w:r w:rsidRPr="00583B75">
        <w:rPr>
          <w:sz w:val="28"/>
          <w:szCs w:val="28"/>
          <w:lang w:val="cs-CZ"/>
        </w:rPr>
        <w:tab/>
      </w:r>
      <w:r w:rsidRPr="00583B75">
        <w:rPr>
          <w:sz w:val="28"/>
          <w:szCs w:val="28"/>
          <w:lang w:val="cs-CZ"/>
        </w:rPr>
        <w:tab/>
      </w:r>
      <w:r w:rsidRPr="00583B75">
        <w:rPr>
          <w:sz w:val="28"/>
          <w:szCs w:val="28"/>
          <w:lang w:val="cs-CZ"/>
        </w:rPr>
        <w:tab/>
      </w:r>
      <w:r w:rsidRPr="00583B75">
        <w:rPr>
          <w:sz w:val="28"/>
          <w:szCs w:val="28"/>
          <w:lang w:val="cs-CZ"/>
        </w:rPr>
        <w:tab/>
      </w:r>
      <w:r w:rsidRPr="00583B75">
        <w:rPr>
          <w:sz w:val="28"/>
          <w:szCs w:val="28"/>
          <w:lang w:val="cs-CZ"/>
        </w:rPr>
        <w:tab/>
      </w:r>
      <w:r w:rsidRPr="00583B75">
        <w:rPr>
          <w:sz w:val="28"/>
          <w:szCs w:val="28"/>
          <w:lang w:val="cs-CZ"/>
        </w:rPr>
        <w:tab/>
      </w:r>
      <w:r w:rsidR="00583B75">
        <w:rPr>
          <w:sz w:val="28"/>
          <w:szCs w:val="28"/>
          <w:lang w:val="cs-CZ"/>
        </w:rPr>
        <w:t>9</w:t>
      </w:r>
      <w:r w:rsidR="0098607C" w:rsidRPr="00583B75">
        <w:rPr>
          <w:sz w:val="28"/>
          <w:szCs w:val="28"/>
          <w:lang w:val="cs-CZ"/>
        </w:rPr>
        <w:t xml:space="preserve">. </w:t>
      </w:r>
      <w:r w:rsidR="00184951" w:rsidRPr="00583B75">
        <w:rPr>
          <w:sz w:val="28"/>
          <w:szCs w:val="28"/>
          <w:lang w:val="cs-CZ"/>
        </w:rPr>
        <w:t>12</w:t>
      </w:r>
      <w:r w:rsidR="0098607C" w:rsidRPr="00583B75">
        <w:rPr>
          <w:sz w:val="28"/>
          <w:szCs w:val="28"/>
          <w:lang w:val="cs-CZ"/>
        </w:rPr>
        <w:t>. 202</w:t>
      </w:r>
      <w:r w:rsidR="005C36C0" w:rsidRPr="00583B75">
        <w:rPr>
          <w:sz w:val="28"/>
          <w:szCs w:val="28"/>
          <w:lang w:val="cs-CZ"/>
        </w:rPr>
        <w:t>1</w:t>
      </w:r>
    </w:p>
    <w:p w14:paraId="6CC4EEC8" w14:textId="77777777" w:rsidR="009C3377" w:rsidRPr="00583B75" w:rsidRDefault="009C3377" w:rsidP="00713EFE">
      <w:pPr>
        <w:spacing w:before="280" w:after="192"/>
        <w:rPr>
          <w:b/>
          <w:bCs/>
          <w:sz w:val="24"/>
          <w:szCs w:val="24"/>
        </w:rPr>
      </w:pPr>
    </w:p>
    <w:p w14:paraId="2B36F9EA" w14:textId="355FA895" w:rsidR="00184951" w:rsidRPr="00290CE0" w:rsidRDefault="00184951" w:rsidP="00184951">
      <w:pPr>
        <w:spacing w:before="280" w:after="192"/>
        <w:rPr>
          <w:b/>
          <w:bCs/>
          <w:sz w:val="24"/>
          <w:szCs w:val="24"/>
        </w:rPr>
      </w:pPr>
      <w:r w:rsidRPr="00583B75">
        <w:rPr>
          <w:b/>
          <w:bCs/>
          <w:sz w:val="24"/>
          <w:szCs w:val="24"/>
        </w:rPr>
        <w:t>Více než polovina společností se účinně nebrání kyberútokům, vyplývá z nové studie Accenture</w:t>
      </w:r>
    </w:p>
    <w:p w14:paraId="5A0965DE" w14:textId="771E4385" w:rsidR="002875E9" w:rsidRPr="00583B75" w:rsidRDefault="002875E9" w:rsidP="00184951">
      <w:pPr>
        <w:pStyle w:val="Bezmezer"/>
        <w:spacing w:after="192"/>
      </w:pPr>
    </w:p>
    <w:p w14:paraId="3595CF30" w14:textId="1949D478" w:rsidR="002875E9" w:rsidRPr="00583B75" w:rsidRDefault="00184951" w:rsidP="00713EFE">
      <w:pPr>
        <w:spacing w:before="280" w:after="192"/>
        <w:rPr>
          <w:b/>
          <w:bCs/>
        </w:rPr>
      </w:pPr>
      <w:r w:rsidRPr="00583B75">
        <w:rPr>
          <w:b/>
          <w:bCs/>
        </w:rPr>
        <w:t>Podle nové studie společnosti Accenture nedokáže více než polovina (55 %) velkých společností účinně zastavit kybernetický útok, efektivně rozpoznat a reagovat na bezpečnostní incident nebo nežádoucí dopad incidentu snížit.</w:t>
      </w:r>
    </w:p>
    <w:p w14:paraId="0FA6FD4E" w14:textId="77777777" w:rsidR="00184951" w:rsidRPr="00583B75" w:rsidRDefault="00184951" w:rsidP="00184951">
      <w:pPr>
        <w:pStyle w:val="Bezmezer"/>
        <w:spacing w:after="192"/>
      </w:pPr>
    </w:p>
    <w:p w14:paraId="62384DF8" w14:textId="4068CDAB" w:rsidR="00290CE0" w:rsidRPr="00290CE0" w:rsidRDefault="00290CE0" w:rsidP="00290CE0">
      <w:pPr>
        <w:spacing w:afterLines="160" w:after="384"/>
      </w:pPr>
      <w:r w:rsidRPr="00583B75">
        <w:t xml:space="preserve">Studie Accenture </w:t>
      </w:r>
      <w:hyperlink r:id="rId8">
        <w:r w:rsidRPr="00290CE0">
          <w:rPr>
            <w:rStyle w:val="Hypertextovodkaz"/>
          </w:rPr>
          <w:t>State of Cybersecurity Resilience 2021</w:t>
        </w:r>
      </w:hyperlink>
      <w:r w:rsidRPr="00583B75">
        <w:t xml:space="preserve"> vychází z průzkumu mezi více než 4 700 vedoucími pracovníky z celého světa a zkoumá, jakou má kybernetická bezpečnost ve firmách prioritu, jaká je účinnost současných bezpečnostních opatření a jak je na tom úroveň investic do IT zabezpečení.  </w:t>
      </w:r>
    </w:p>
    <w:p w14:paraId="25140913" w14:textId="3BA0D3F2" w:rsidR="00290CE0" w:rsidRPr="00290CE0" w:rsidRDefault="00290CE0" w:rsidP="00290CE0">
      <w:pPr>
        <w:spacing w:afterLines="160" w:after="384"/>
      </w:pPr>
      <w:r w:rsidRPr="00583B75">
        <w:t>Podle zprávy si čtyři z pěti respondentů (81 %) myslí, že „</w:t>
      </w:r>
      <w:r w:rsidR="00184951" w:rsidRPr="00583B75">
        <w:t>zachovat</w:t>
      </w:r>
      <w:r w:rsidRPr="00583B75">
        <w:t xml:space="preserve"> si náskok před útočníky je neustálý boj a náklady jsou neudržitelné“, což představuje nárůst oproti 69 % v loňském průzkumu, kdy stejnou odpověď uvedlo 69 % respondentů. A přestože 82 % respondentů v průzkumu uvedlo, že v uplynulém roce své výdaje na kybernetickou bezpečnost navýšili, vzrost počet nežádoucích narušení útočníkem, která zahrnují neoprávněný přístup k datům, aplikacím, službám, sítím nebo zařízením – a to o 31 % na průměrných 270 na jednu firmu.</w:t>
      </w:r>
    </w:p>
    <w:p w14:paraId="0CACD98C" w14:textId="5DECA774" w:rsidR="00290CE0" w:rsidRPr="00583B75" w:rsidRDefault="00290CE0" w:rsidP="00290CE0">
      <w:pPr>
        <w:spacing w:afterLines="160" w:after="384"/>
      </w:pPr>
      <w:r w:rsidRPr="00583B75">
        <w:t>„</w:t>
      </w:r>
      <w:r w:rsidRPr="00583B75">
        <w:rPr>
          <w:lang w:val="en-US"/>
        </w:rPr>
        <w:t>Útočníci jsou stále vynalézavější v hledání nových způsobů, jak provádět útoky – ať už z pohledu jednotlivců nebo sofistikovaných aktérů národních států</w:t>
      </w:r>
      <w:r w:rsidRPr="00583B75">
        <w:t>,“ uvedl Kelly Bissell, který je globálním lídrem Accenture Security. „Analýza ukazuje, že společnosti se až příliš často zaměřují pouze na obchodní výsledky, a to i na úkor kybernetické bezpečnosti, což vytváří větší riziko vzniku nežádoucích bezpečnostních incidentů. I když není snadné dosáhnout optimální rovnováhy, ti, kteří mají jasný přehled o hrozbách a umí s nimi sladit obchodní priority a výsledky, dosahují ve svých společnostech vyšší úrovně kybernetické odolnosti.“</w:t>
      </w:r>
    </w:p>
    <w:p w14:paraId="03995F60" w14:textId="65DE44BB" w:rsidR="00184951" w:rsidRPr="00583B75" w:rsidRDefault="00184951" w:rsidP="00184951">
      <w:pPr>
        <w:spacing w:afterLines="160" w:after="384"/>
      </w:pPr>
      <w:r w:rsidRPr="00583B75">
        <w:t>Zpráva zdůrazňuje, že usilovat o dosažení kybernetické bezpečnosti je třeba i mimo vlastní firmu, a to v prostředí celého jejího ekosystému. Důvodem je přibývající množství nepřímých útoků, tj. úspěšných průniků do firem prostřednictvím dodavatelského řetězce. Navzdory tomu, že dvě třetiny (67 %) firem věří bezpečnosti svého ekosystému, představovaly nepřímé útoky v uplynulém roce až 61 % všech kybernetických útoků, což znamená 44% nárůst oproti předchozímu roku.</w:t>
      </w:r>
    </w:p>
    <w:p w14:paraId="5DDFB60B" w14:textId="77777777" w:rsidR="00184951" w:rsidRPr="00290CE0" w:rsidRDefault="00184951" w:rsidP="00184951">
      <w:pPr>
        <w:spacing w:afterLines="160" w:after="384"/>
      </w:pPr>
      <w:r w:rsidRPr="00583B75">
        <w:lastRenderedPageBreak/>
        <w:t xml:space="preserve">Kromě toho průzkum identifikoval menší skupinu firem, které v kybernetické odolnosti nejenže vynikají, ale umí jí přizpůsobit i svou obchodní strategii tak, aby dosáhly lepších obchodních výsledků i návratnosti vložených investic do kybernetické bezpečnosti. </w:t>
      </w:r>
    </w:p>
    <w:p w14:paraId="1F924099" w14:textId="53B467CF" w:rsidR="00290CE0" w:rsidRPr="00290CE0" w:rsidRDefault="00E519B0" w:rsidP="00184951">
      <w:pPr>
        <w:spacing w:afterLines="160" w:after="384"/>
        <w:contextualSpacing/>
      </w:pPr>
      <w:r>
        <w:rPr>
          <w:lang w:val="en-US"/>
        </w:rPr>
        <w:drawing>
          <wp:inline distT="0" distB="0" distL="0" distR="0" wp14:anchorId="5145C431" wp14:editId="20395D13">
            <wp:extent cx="5708650" cy="320675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0" cy="320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0CE0" w:rsidRPr="00583B75">
        <w:rPr>
          <w:lang w:val="en-US"/>
        </w:rPr>
        <w:br/>
      </w:r>
      <w:r w:rsidR="00290CE0" w:rsidRPr="00583B75">
        <w:t>Podle Accenture se tito „kybernetičtí šampioni“ vyznačují tím, že:</w:t>
      </w:r>
    </w:p>
    <w:p w14:paraId="48C4F92F" w14:textId="29EEEB2B" w:rsidR="00290CE0" w:rsidRPr="00290CE0" w:rsidRDefault="00290CE0" w:rsidP="00290CE0">
      <w:pPr>
        <w:numPr>
          <w:ilvl w:val="0"/>
          <w:numId w:val="29"/>
        </w:numPr>
        <w:spacing w:afterLines="160" w:after="384"/>
        <w:contextualSpacing/>
      </w:pPr>
      <w:r w:rsidRPr="00290CE0">
        <w:t>je u nich větší pravděpodobnost nalezení rovnováhy mezi kybernetickou bezpečností a</w:t>
      </w:r>
      <w:r w:rsidR="00184951" w:rsidRPr="00583B75">
        <w:t> </w:t>
      </w:r>
      <w:r w:rsidRPr="00290CE0">
        <w:t>obchodními cíli;</w:t>
      </w:r>
    </w:p>
    <w:p w14:paraId="4798647A" w14:textId="7C9D186D" w:rsidR="00290CE0" w:rsidRPr="00290CE0" w:rsidRDefault="00290CE0" w:rsidP="00290CE0">
      <w:pPr>
        <w:numPr>
          <w:ilvl w:val="0"/>
          <w:numId w:val="29"/>
        </w:numPr>
        <w:spacing w:afterLines="160" w:after="384"/>
        <w:contextualSpacing/>
      </w:pPr>
      <w:r w:rsidRPr="00583B75">
        <w:t>více informují výkonného ředitele a představenstvo</w:t>
      </w:r>
      <w:r w:rsidR="00690F9B" w:rsidRPr="00583B75">
        <w:t xml:space="preserve">, </w:t>
      </w:r>
      <w:r w:rsidRPr="00583B75">
        <w:t>udržují užší propojení s byznysem a</w:t>
      </w:r>
      <w:r w:rsidR="00184951" w:rsidRPr="00583B75">
        <w:t> </w:t>
      </w:r>
      <w:r w:rsidRPr="00583B75">
        <w:t>finančním ředitelem;</w:t>
      </w:r>
    </w:p>
    <w:p w14:paraId="3C538572" w14:textId="77777777" w:rsidR="00290CE0" w:rsidRPr="00290CE0" w:rsidRDefault="00290CE0" w:rsidP="00290CE0">
      <w:pPr>
        <w:numPr>
          <w:ilvl w:val="0"/>
          <w:numId w:val="29"/>
        </w:numPr>
        <w:spacing w:afterLines="160" w:after="384"/>
        <w:contextualSpacing/>
      </w:pPr>
      <w:r w:rsidRPr="00290CE0">
        <w:t>často s výkonnými a finančními řediteli konzultují vytváření strategie kybernetické bezpečnosti firmy;</w:t>
      </w:r>
    </w:p>
    <w:p w14:paraId="6B333A2E" w14:textId="77777777" w:rsidR="00290CE0" w:rsidRPr="00290CE0" w:rsidRDefault="00290CE0" w:rsidP="00290CE0">
      <w:pPr>
        <w:numPr>
          <w:ilvl w:val="0"/>
          <w:numId w:val="29"/>
        </w:numPr>
        <w:spacing w:afterLines="160" w:after="384"/>
        <w:contextualSpacing/>
      </w:pPr>
      <w:r w:rsidRPr="00583B75">
        <w:t>chrání svou firmu před ztrátou dat;</w:t>
      </w:r>
    </w:p>
    <w:p w14:paraId="274BF9C3" w14:textId="77777777" w:rsidR="00290CE0" w:rsidRPr="00290CE0" w:rsidRDefault="00290CE0" w:rsidP="00290CE0">
      <w:pPr>
        <w:numPr>
          <w:ilvl w:val="0"/>
          <w:numId w:val="29"/>
        </w:numPr>
        <w:spacing w:afterLines="160" w:after="384"/>
        <w:contextualSpacing/>
      </w:pPr>
      <w:r w:rsidRPr="00290CE0">
        <w:t xml:space="preserve">začleňují bezpečnost do svých cloudových iniciativ; </w:t>
      </w:r>
    </w:p>
    <w:p w14:paraId="28B97BD8" w14:textId="77777777" w:rsidR="00290CE0" w:rsidRPr="00290CE0" w:rsidRDefault="00290CE0" w:rsidP="00290CE0">
      <w:pPr>
        <w:numPr>
          <w:ilvl w:val="0"/>
          <w:numId w:val="29"/>
        </w:numPr>
        <w:spacing w:afterLines="160" w:after="384"/>
      </w:pPr>
      <w:r w:rsidRPr="00583B75">
        <w:t xml:space="preserve">alespoň jednou ročně testují bezpečnostní mechanismy firmy a případně navrhují nová opatření </w:t>
      </w:r>
    </w:p>
    <w:p w14:paraId="6ED0C450" w14:textId="66B624B9" w:rsidR="00290CE0" w:rsidRPr="00290CE0" w:rsidRDefault="00290CE0" w:rsidP="00290CE0">
      <w:pPr>
        <w:spacing w:afterLines="160" w:after="384"/>
      </w:pPr>
      <w:r w:rsidRPr="00583B75">
        <w:t>„Větší výdaje na kybernetickou bezpečnost bez těsného propojení s byznysem nezajistí větší bezpečnost firmy,“ říká Michal Merta, který v Accenture vede pražské Cyber Fusion Centrum. „Pokud jde o řízení kybernetických rizik, firmy si nemohou dovolit přiklánět se na jednu či druhou stranu, tedy plánov</w:t>
      </w:r>
      <w:r w:rsidR="00690F9B" w:rsidRPr="00583B75">
        <w:t>at</w:t>
      </w:r>
      <w:r w:rsidRPr="00583B75">
        <w:t xml:space="preserve"> kybernetick</w:t>
      </w:r>
      <w:r w:rsidR="00690F9B" w:rsidRPr="00583B75">
        <w:t>ou</w:t>
      </w:r>
      <w:r w:rsidRPr="00583B75">
        <w:t xml:space="preserve"> bezpečnost bez ohledu na byznys anebo upřednostňov</w:t>
      </w:r>
      <w:r w:rsidR="00690F9B" w:rsidRPr="00583B75">
        <w:t>at</w:t>
      </w:r>
      <w:r w:rsidRPr="00583B75">
        <w:t xml:space="preserve"> byznys na úkor bezpečnosti. Ani jedno se nemusí z dlouhodobého horizontu vyplatit. Aby bylo možné dosáhnout trvalé a měřitelné kybernetické odolnosti, musí se bezpečnostní manažeři odpoutat od striktního odděl</w:t>
      </w:r>
      <w:r w:rsidR="00690F9B" w:rsidRPr="00583B75">
        <w:t>ování</w:t>
      </w:r>
      <w:r w:rsidRPr="00583B75">
        <w:t xml:space="preserve"> funkcí zaměřených na IT bezpečnost a více spolupracovat s byznysem a sdílet pohled na obchodní rizika a priority.</w:t>
      </w:r>
    </w:p>
    <w:p w14:paraId="5A082FC4" w14:textId="4008F548" w:rsidR="00290CE0" w:rsidRPr="00290CE0" w:rsidRDefault="00290CE0" w:rsidP="00290CE0">
      <w:pPr>
        <w:spacing w:afterLines="160" w:after="384"/>
      </w:pPr>
      <w:r w:rsidRPr="00290CE0">
        <w:lastRenderedPageBreak/>
        <w:t xml:space="preserve">Celou zprávu State of Cybersecurity Resilience 2021 si můžete stáhnout </w:t>
      </w:r>
      <w:hyperlink r:id="rId10" w:history="1">
        <w:r w:rsidRPr="00290CE0">
          <w:rPr>
            <w:rStyle w:val="Hypertextovodkaz"/>
          </w:rPr>
          <w:t>zde</w:t>
        </w:r>
      </w:hyperlink>
      <w:r w:rsidRPr="00290CE0">
        <w:t xml:space="preserve">. </w:t>
      </w:r>
    </w:p>
    <w:p w14:paraId="4B22C844" w14:textId="77777777" w:rsidR="00290CE0" w:rsidRPr="00583B75" w:rsidRDefault="00290CE0" w:rsidP="00290CE0">
      <w:pPr>
        <w:spacing w:afterLines="160" w:after="384"/>
        <w:contextualSpacing/>
        <w:rPr>
          <w:b/>
          <w:bCs/>
        </w:rPr>
      </w:pPr>
      <w:r w:rsidRPr="00290CE0">
        <w:rPr>
          <w:b/>
          <w:bCs/>
        </w:rPr>
        <w:t>Metodologie</w:t>
      </w:r>
    </w:p>
    <w:p w14:paraId="26D7CE10" w14:textId="1632CDE5" w:rsidR="00290CE0" w:rsidRPr="00583B75" w:rsidRDefault="00290CE0" w:rsidP="00290CE0">
      <w:pPr>
        <w:spacing w:afterLines="160" w:after="384"/>
      </w:pPr>
      <w:r w:rsidRPr="00290CE0">
        <w:t>Oddělení Accenture Research provedlo průzkum mezi 4 744 vedoucími pracovníky, kteří zastupují společnosti s ročními příjmy ve výši alespoň 1 miliardy USD ve 23 průmyslových odvětvích a 18 zemích Severní a Jižní Ameriky, Evropy, Asie a Tichomoří. Pro definování čtyř úrovní kybernetické odolnosti byla provedena analýza na podskupině vzorku 3 455 organizací – kybernetičtí šampioni tvořili 5 % z celého vzorku. Studie byla provedena v období od března do dubna 2021</w:t>
      </w:r>
      <w:r w:rsidR="00690F9B" w:rsidRPr="00583B75">
        <w:t>.</w:t>
      </w:r>
    </w:p>
    <w:p w14:paraId="361191C0" w14:textId="77777777" w:rsidR="00690F9B" w:rsidRPr="00583B75" w:rsidRDefault="00690F9B" w:rsidP="00290CE0">
      <w:pPr>
        <w:spacing w:afterLines="160" w:after="384"/>
        <w:rPr>
          <w:b/>
          <w:bCs/>
        </w:rPr>
      </w:pPr>
    </w:p>
    <w:p w14:paraId="0BD87F86" w14:textId="77777777" w:rsidR="00290CE0" w:rsidRPr="00583B75" w:rsidRDefault="00290CE0" w:rsidP="00290CE0">
      <w:pPr>
        <w:spacing w:after="192"/>
        <w:rPr>
          <w:noProof w:val="0"/>
        </w:rPr>
      </w:pPr>
      <w:r w:rsidRPr="00583B75">
        <w:rPr>
          <w:b/>
          <w:bCs/>
          <w:noProof w:val="0"/>
        </w:rPr>
        <w:t>O společnosti Accenture</w:t>
      </w:r>
    </w:p>
    <w:p w14:paraId="0BA0EC22" w14:textId="77777777" w:rsidR="00290CE0" w:rsidRPr="00583B75" w:rsidRDefault="00290CE0" w:rsidP="00290CE0">
      <w:pPr>
        <w:spacing w:after="192"/>
        <w:rPr>
          <w:noProof w:val="0"/>
          <w:color w:val="0000FF"/>
          <w:u w:val="single"/>
        </w:rPr>
      </w:pPr>
      <w:r w:rsidRPr="00583B75">
        <w:rPr>
          <w:noProof w:val="0"/>
        </w:rPr>
        <w:t>Accenture je globální společnost poskytující profesionální služby v oblasti digitalizace, cloudu a kybernetické bezpečnosti. Díky propojení zkušeností a specializovaných dovedností ve více než 40 průmyslových odvětvích nabízíme služby v oblastech poradenství &amp; strategie, Interactive, Technology a Operations – a to díky podpoře největší celosvětové sítě Advanced Technology a Intelligent Operations center. Našich 567 000 zaměstnanců využívá možnosti nejnovějších technologií i lidské vynalézavosti v práci pro klienty ve více než 120 zemích. Díky síle změn vytváříme hodnoty a zvyšujeme úspěšnost našich klientů, lidí, akcionářů, partnerů i celé společnosti. Navštivte nás na </w:t>
      </w:r>
      <w:hyperlink r:id="rId11" w:tgtFrame="_blank" w:history="1">
        <w:r w:rsidRPr="00583B75">
          <w:rPr>
            <w:rStyle w:val="Hypertextovodkaz"/>
            <w:noProof w:val="0"/>
          </w:rPr>
          <w:t>www.accenture.com</w:t>
        </w:r>
      </w:hyperlink>
      <w:r w:rsidRPr="00583B75">
        <w:t xml:space="preserve"> nebo</w:t>
      </w:r>
      <w:r w:rsidRPr="00583B75">
        <w:rPr>
          <w:rStyle w:val="Hypertextovodkaz"/>
          <w:noProof w:val="0"/>
        </w:rPr>
        <w:t xml:space="preserve"> </w:t>
      </w:r>
      <w:hyperlink r:id="rId12" w:history="1">
        <w:r w:rsidRPr="00583B75">
          <w:rPr>
            <w:rStyle w:val="Hypertextovodkaz"/>
            <w:noProof w:val="0"/>
          </w:rPr>
          <w:t>https://www.accenture.com/cz-en/about/company/newsroom</w:t>
        </w:r>
      </w:hyperlink>
      <w:r w:rsidRPr="00583B75">
        <w:rPr>
          <w:noProof w:val="0"/>
          <w:color w:val="0000FF"/>
          <w:u w:val="single"/>
        </w:rPr>
        <w:t>.</w:t>
      </w:r>
    </w:p>
    <w:p w14:paraId="378F8D86" w14:textId="77777777" w:rsidR="00290CE0" w:rsidRPr="00583B75" w:rsidRDefault="00290CE0" w:rsidP="00290CE0">
      <w:pPr>
        <w:pStyle w:val="Bezmezer"/>
        <w:spacing w:after="192"/>
        <w:rPr>
          <w:noProof w:val="0"/>
        </w:rPr>
      </w:pPr>
    </w:p>
    <w:p w14:paraId="5247FAE8" w14:textId="4D0E8F19" w:rsidR="00690F9B" w:rsidRPr="00583B75" w:rsidRDefault="00290CE0" w:rsidP="00690F9B">
      <w:pPr>
        <w:pStyle w:val="Textkomente"/>
        <w:spacing w:after="192" w:line="240" w:lineRule="auto"/>
        <w:contextualSpacing/>
      </w:pPr>
      <w:r w:rsidRPr="00583B75">
        <w:rPr>
          <w:b/>
          <w:bCs/>
          <w:noProof w:val="0"/>
        </w:rPr>
        <w:t>Kontakt</w:t>
      </w:r>
      <w:r w:rsidRPr="00583B75">
        <w:rPr>
          <w:b/>
          <w:noProof w:val="0"/>
        </w:rPr>
        <w:t xml:space="preserve"> pro média:</w:t>
      </w:r>
      <w:r w:rsidRPr="00583B75">
        <w:rPr>
          <w:noProof w:val="0"/>
        </w:rPr>
        <w:t xml:space="preserve"> </w:t>
      </w:r>
      <w:r w:rsidRPr="00583B75">
        <w:rPr>
          <w:noProof w:val="0"/>
        </w:rPr>
        <w:tab/>
        <w:t xml:space="preserve">Lukáš Vejnar, </w:t>
      </w:r>
      <w:hyperlink r:id="rId13" w:history="1">
        <w:r w:rsidRPr="00583B75">
          <w:rPr>
            <w:rStyle w:val="Hypertextovodkaz"/>
            <w:lang w:val="en-US"/>
          </w:rPr>
          <w:t>lukas.vejnar@accenture.com</w:t>
        </w:r>
      </w:hyperlink>
      <w:r w:rsidRPr="00583B75">
        <w:rPr>
          <w:lang w:val="en-US"/>
        </w:rPr>
        <w:t xml:space="preserve">, </w:t>
      </w:r>
      <w:r w:rsidRPr="00583B75">
        <w:t>605 067</w:t>
      </w:r>
      <w:r w:rsidR="00690F9B" w:rsidRPr="00583B75">
        <w:t> </w:t>
      </w:r>
      <w:r w:rsidRPr="00583B75">
        <w:t>979</w:t>
      </w:r>
    </w:p>
    <w:p w14:paraId="192154D3" w14:textId="10D13E4D" w:rsidR="00690F9B" w:rsidRPr="00583B75" w:rsidRDefault="00290CE0" w:rsidP="00690F9B">
      <w:pPr>
        <w:pStyle w:val="Textkomente"/>
        <w:spacing w:after="192" w:line="240" w:lineRule="auto"/>
        <w:ind w:left="1440" w:firstLine="720"/>
        <w:contextualSpacing/>
        <w:rPr>
          <w:noProof w:val="0"/>
        </w:rPr>
      </w:pPr>
      <w:r w:rsidRPr="00583B75">
        <w:rPr>
          <w:noProof w:val="0"/>
        </w:rPr>
        <w:t xml:space="preserve">Petr Jarkovský, </w:t>
      </w:r>
      <w:hyperlink r:id="rId14" w:history="1">
        <w:r w:rsidRPr="00583B75">
          <w:rPr>
            <w:rStyle w:val="Hypertextovodkaz"/>
            <w:noProof w:val="0"/>
          </w:rPr>
          <w:t>petr.jarkovsky@aspen.pr</w:t>
        </w:r>
      </w:hyperlink>
      <w:r w:rsidRPr="00583B75">
        <w:rPr>
          <w:noProof w:val="0"/>
        </w:rPr>
        <w:t>, 774 225</w:t>
      </w:r>
      <w:r w:rsidR="00690F9B" w:rsidRPr="00583B75">
        <w:rPr>
          <w:noProof w:val="0"/>
        </w:rPr>
        <w:t> </w:t>
      </w:r>
      <w:r w:rsidRPr="00583B75">
        <w:rPr>
          <w:noProof w:val="0"/>
        </w:rPr>
        <w:t>153</w:t>
      </w:r>
    </w:p>
    <w:p w14:paraId="6C7C5226" w14:textId="5A7D6F3D" w:rsidR="00290CE0" w:rsidRPr="00583B75" w:rsidRDefault="00290CE0" w:rsidP="00690F9B">
      <w:pPr>
        <w:pStyle w:val="Textkomente"/>
        <w:spacing w:after="192" w:line="240" w:lineRule="auto"/>
        <w:ind w:left="1440" w:firstLine="720"/>
        <w:contextualSpacing/>
        <w:rPr>
          <w:noProof w:val="0"/>
        </w:rPr>
      </w:pPr>
      <w:r w:rsidRPr="00583B75">
        <w:rPr>
          <w:noProof w:val="0"/>
        </w:rPr>
        <w:t xml:space="preserve">Markéta Ciňková, </w:t>
      </w:r>
      <w:hyperlink r:id="rId15" w:history="1">
        <w:r w:rsidRPr="00583B75">
          <w:rPr>
            <w:rStyle w:val="Hypertextovodkaz"/>
            <w:noProof w:val="0"/>
          </w:rPr>
          <w:t>marketa.cinkova@aspen.pr</w:t>
        </w:r>
      </w:hyperlink>
      <w:r w:rsidRPr="00583B75">
        <w:rPr>
          <w:noProof w:val="0"/>
        </w:rPr>
        <w:t>, 724 012 612</w:t>
      </w:r>
    </w:p>
    <w:p w14:paraId="762F77C3" w14:textId="77777777" w:rsidR="00290CE0" w:rsidRPr="00290CE0" w:rsidRDefault="00290CE0" w:rsidP="00290CE0">
      <w:pPr>
        <w:spacing w:afterLines="160" w:after="384"/>
      </w:pPr>
    </w:p>
    <w:sectPr w:rsidR="00290CE0" w:rsidRPr="00290CE0" w:rsidSect="003006BF">
      <w:headerReference w:type="default" r:id="rId16"/>
      <w:type w:val="continuous"/>
      <w:pgSz w:w="11907" w:h="16840"/>
      <w:pgMar w:top="1701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10C57" w14:textId="77777777" w:rsidR="00EA14C8" w:rsidRDefault="00EA14C8">
      <w:pPr>
        <w:spacing w:after="192"/>
        <w:rPr>
          <w:rFonts w:ascii="Times New Roman" w:hAnsi="Times New Roman"/>
        </w:rPr>
      </w:pPr>
      <w:r>
        <w:rPr>
          <w:rFonts w:ascii="Times New Roman" w:hAnsi="Times New Roman"/>
        </w:rPr>
        <w:separator/>
      </w:r>
    </w:p>
  </w:endnote>
  <w:endnote w:type="continuationSeparator" w:id="0">
    <w:p w14:paraId="134284D8" w14:textId="77777777" w:rsidR="00EA14C8" w:rsidRDefault="00EA14C8">
      <w:pPr>
        <w:spacing w:after="192"/>
        <w:rPr>
          <w:rFonts w:ascii="Times New Roman" w:hAnsi="Times New Roman"/>
        </w:rPr>
      </w:pPr>
      <w:r>
        <w:rPr>
          <w:rFonts w:ascii="Times New Roman" w:hAnsi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FF15B" w14:textId="77777777" w:rsidR="00EA14C8" w:rsidRDefault="00EA14C8">
      <w:pPr>
        <w:spacing w:after="192"/>
        <w:rPr>
          <w:rFonts w:ascii="Times New Roman" w:hAnsi="Times New Roman"/>
        </w:rPr>
      </w:pPr>
      <w:r>
        <w:rPr>
          <w:rFonts w:ascii="Times New Roman" w:hAnsi="Times New Roman"/>
        </w:rPr>
        <w:separator/>
      </w:r>
    </w:p>
  </w:footnote>
  <w:footnote w:type="continuationSeparator" w:id="0">
    <w:p w14:paraId="70FBB192" w14:textId="77777777" w:rsidR="00EA14C8" w:rsidRDefault="00EA14C8">
      <w:pPr>
        <w:spacing w:after="192"/>
        <w:rPr>
          <w:rFonts w:ascii="Times New Roman" w:hAnsi="Times New Roman"/>
        </w:rPr>
      </w:pPr>
      <w:r>
        <w:rPr>
          <w:rFonts w:ascii="Times New Roman" w:hAnsi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843" w:type="dxa"/>
      <w:tblBorders>
        <w:top w:val="dotted" w:sz="4" w:space="0" w:color="FFFFFF"/>
        <w:left w:val="dotted" w:sz="4" w:space="0" w:color="FFFFFF"/>
        <w:bottom w:val="dotted" w:sz="4" w:space="0" w:color="FFFFFF"/>
        <w:right w:val="dotted" w:sz="4" w:space="0" w:color="FFFFFF"/>
        <w:insideV w:val="dotted" w:sz="4" w:space="0" w:color="FFFFFF"/>
      </w:tblBorders>
      <w:tblLayout w:type="fixed"/>
      <w:tblLook w:val="0000" w:firstRow="0" w:lastRow="0" w:firstColumn="0" w:lastColumn="0" w:noHBand="0" w:noVBand="0"/>
    </w:tblPr>
    <w:tblGrid>
      <w:gridCol w:w="5973"/>
      <w:gridCol w:w="4870"/>
    </w:tblGrid>
    <w:tr w:rsidR="002132CC" w14:paraId="607BBC45" w14:textId="77777777" w:rsidTr="00DF79C4">
      <w:trPr>
        <w:trHeight w:val="1979"/>
      </w:trPr>
      <w:tc>
        <w:tcPr>
          <w:tcW w:w="5973" w:type="dxa"/>
        </w:tcPr>
        <w:p w14:paraId="6DF968C6" w14:textId="2ADB1A08" w:rsidR="002132CC" w:rsidRDefault="00E519B0">
          <w:pPr>
            <w:pStyle w:val="Zhlav"/>
            <w:spacing w:before="60" w:after="192"/>
            <w:rPr>
              <w:rFonts w:ascii="Times New Roman" w:hAnsi="Times New Roman"/>
            </w:rPr>
          </w:pPr>
          <w:r>
            <w:drawing>
              <wp:anchor distT="0" distB="0" distL="114300" distR="114300" simplePos="0" relativeHeight="251657728" behindDoc="1" locked="0" layoutInCell="1" allowOverlap="1" wp14:anchorId="2A07B48B" wp14:editId="43BC5379">
                <wp:simplePos x="0" y="0"/>
                <wp:positionH relativeFrom="column">
                  <wp:posOffset>-2463165</wp:posOffset>
                </wp:positionH>
                <wp:positionV relativeFrom="paragraph">
                  <wp:posOffset>635</wp:posOffset>
                </wp:positionV>
                <wp:extent cx="2187575" cy="1038225"/>
                <wp:effectExtent l="0" t="0" r="0" b="0"/>
                <wp:wrapTight wrapText="bothSides">
                  <wp:wrapPolygon edited="0">
                    <wp:start x="0" y="396"/>
                    <wp:lineTo x="0" y="21402"/>
                    <wp:lineTo x="21443" y="21402"/>
                    <wp:lineTo x="21443" y="396"/>
                    <wp:lineTo x="0" y="396"/>
                  </wp:wrapPolygon>
                </wp:wrapTight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686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87575" cy="10382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870" w:type="dxa"/>
        </w:tcPr>
        <w:p w14:paraId="14356BF8" w14:textId="77777777" w:rsidR="002132CC" w:rsidRPr="000663DE" w:rsidRDefault="002132CC" w:rsidP="000663DE">
          <w:pPr>
            <w:spacing w:after="192"/>
          </w:pPr>
        </w:p>
      </w:tc>
    </w:tr>
  </w:tbl>
  <w:p w14:paraId="05F27F3B" w14:textId="77777777" w:rsidR="002132CC" w:rsidRDefault="002132CC">
    <w:pPr>
      <w:pStyle w:val="Zhlav"/>
      <w:spacing w:after="192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128AB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</w:rPr>
    </w:lvl>
  </w:abstractNum>
  <w:abstractNum w:abstractNumId="1" w15:restartNumberingAfterBreak="0">
    <w:nsid w:val="0B5C7C89"/>
    <w:multiLevelType w:val="hybridMultilevel"/>
    <w:tmpl w:val="D6AC09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" w15:restartNumberingAfterBreak="0">
    <w:nsid w:val="0C9437FF"/>
    <w:multiLevelType w:val="hybridMultilevel"/>
    <w:tmpl w:val="0DD2990E"/>
    <w:lvl w:ilvl="0" w:tplc="FB7C63C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3" w15:restartNumberingAfterBreak="0">
    <w:nsid w:val="0D9C5ADB"/>
    <w:multiLevelType w:val="hybridMultilevel"/>
    <w:tmpl w:val="315E28E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cs="Times New Roman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Times New Roman" w:hint="default"/>
      </w:rPr>
    </w:lvl>
  </w:abstractNum>
  <w:abstractNum w:abstractNumId="4" w15:restartNumberingAfterBreak="0">
    <w:nsid w:val="165901E4"/>
    <w:multiLevelType w:val="hybridMultilevel"/>
    <w:tmpl w:val="21762D4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Times New Roman" w:hint="default"/>
      </w:rPr>
    </w:lvl>
  </w:abstractNum>
  <w:abstractNum w:abstractNumId="5" w15:restartNumberingAfterBreak="0">
    <w:nsid w:val="1C202BBE"/>
    <w:multiLevelType w:val="hybridMultilevel"/>
    <w:tmpl w:val="86143E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EE5719"/>
    <w:multiLevelType w:val="hybridMultilevel"/>
    <w:tmpl w:val="3266E1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7" w15:restartNumberingAfterBreak="0">
    <w:nsid w:val="31C3335C"/>
    <w:multiLevelType w:val="hybridMultilevel"/>
    <w:tmpl w:val="C6482AFA"/>
    <w:lvl w:ilvl="0" w:tplc="B65C9F1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447F91"/>
    <w:multiLevelType w:val="hybridMultilevel"/>
    <w:tmpl w:val="6E4CC458"/>
    <w:lvl w:ilvl="0" w:tplc="E708D6E4">
      <w:start w:val="1"/>
      <w:numFmt w:val="bullet"/>
      <w:lvlText w:val=""/>
      <w:lvlJc w:val="left"/>
      <w:pPr>
        <w:ind w:left="360" w:hanging="360"/>
      </w:pPr>
      <w:rPr>
        <w:rFonts w:ascii="Symbol" w:hAnsi="Symbol" w:cs="Times New Roman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Times New Roman" w:hint="default"/>
      </w:rPr>
    </w:lvl>
  </w:abstractNum>
  <w:abstractNum w:abstractNumId="9" w15:restartNumberingAfterBreak="0">
    <w:nsid w:val="36715195"/>
    <w:multiLevelType w:val="hybridMultilevel"/>
    <w:tmpl w:val="0E1E11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Times New Roman" w:hint="default"/>
      </w:rPr>
    </w:lvl>
  </w:abstractNum>
  <w:abstractNum w:abstractNumId="10" w15:restartNumberingAfterBreak="0">
    <w:nsid w:val="373235F5"/>
    <w:multiLevelType w:val="hybridMultilevel"/>
    <w:tmpl w:val="7A3E38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11" w15:restartNumberingAfterBreak="0">
    <w:nsid w:val="426F4EC9"/>
    <w:multiLevelType w:val="hybridMultilevel"/>
    <w:tmpl w:val="A1DAAB3E"/>
    <w:lvl w:ilvl="0" w:tplc="C83ACB88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DF29D8"/>
    <w:multiLevelType w:val="hybridMultilevel"/>
    <w:tmpl w:val="140459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13" w15:restartNumberingAfterBreak="0">
    <w:nsid w:val="487579BC"/>
    <w:multiLevelType w:val="hybridMultilevel"/>
    <w:tmpl w:val="5B82F634"/>
    <w:lvl w:ilvl="0" w:tplc="E31679F6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87794E"/>
    <w:multiLevelType w:val="hybridMultilevel"/>
    <w:tmpl w:val="CD3C2D6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63673F3B"/>
    <w:multiLevelType w:val="hybridMultilevel"/>
    <w:tmpl w:val="0AF6C7FE"/>
    <w:lvl w:ilvl="0" w:tplc="E708D6E4">
      <w:start w:val="1"/>
      <w:numFmt w:val="bullet"/>
      <w:lvlText w:val=""/>
      <w:lvlJc w:val="left"/>
      <w:pPr>
        <w:ind w:left="360" w:hanging="360"/>
      </w:pPr>
      <w:rPr>
        <w:rFonts w:ascii="Symbol" w:hAnsi="Symbol" w:cs="Times New Roman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Times New Roman" w:hint="default"/>
      </w:rPr>
    </w:lvl>
  </w:abstractNum>
  <w:abstractNum w:abstractNumId="16" w15:restartNumberingAfterBreak="0">
    <w:nsid w:val="6439383B"/>
    <w:multiLevelType w:val="hybridMultilevel"/>
    <w:tmpl w:val="CEEE00A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8C52C16"/>
    <w:multiLevelType w:val="hybridMultilevel"/>
    <w:tmpl w:val="A918960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ADB27CB"/>
    <w:multiLevelType w:val="hybridMultilevel"/>
    <w:tmpl w:val="9D5416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19" w15:restartNumberingAfterBreak="0">
    <w:nsid w:val="6D9F4862"/>
    <w:multiLevelType w:val="hybridMultilevel"/>
    <w:tmpl w:val="21482852"/>
    <w:lvl w:ilvl="0" w:tplc="C83ACB88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BB114E"/>
    <w:multiLevelType w:val="hybridMultilevel"/>
    <w:tmpl w:val="9E9C46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21" w15:restartNumberingAfterBreak="0">
    <w:nsid w:val="72A14917"/>
    <w:multiLevelType w:val="hybridMultilevel"/>
    <w:tmpl w:val="8E70FAB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69C1B8C"/>
    <w:multiLevelType w:val="hybridMultilevel"/>
    <w:tmpl w:val="7FEE45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734846"/>
    <w:multiLevelType w:val="hybridMultilevel"/>
    <w:tmpl w:val="BEF07810"/>
    <w:lvl w:ilvl="0" w:tplc="DFB60D2C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4" w15:restartNumberingAfterBreak="0">
    <w:nsid w:val="7A2541D3"/>
    <w:multiLevelType w:val="multilevel"/>
    <w:tmpl w:val="DC46F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Times New Roman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Times New Roman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Times New Roman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Times New Roman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  <w:sz w:val="20"/>
        <w:szCs w:val="20"/>
      </w:rPr>
    </w:lvl>
  </w:abstractNum>
  <w:abstractNum w:abstractNumId="25" w15:restartNumberingAfterBreak="0">
    <w:nsid w:val="7BC51731"/>
    <w:multiLevelType w:val="hybridMultilevel"/>
    <w:tmpl w:val="D1EAA5C0"/>
    <w:lvl w:ilvl="0" w:tplc="041B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6" w15:restartNumberingAfterBreak="0">
    <w:nsid w:val="7E6B1ED3"/>
    <w:multiLevelType w:val="multilevel"/>
    <w:tmpl w:val="77D0F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E792F41"/>
    <w:multiLevelType w:val="hybridMultilevel"/>
    <w:tmpl w:val="EC506B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28" w15:restartNumberingAfterBreak="0">
    <w:nsid w:val="7EAB47C8"/>
    <w:multiLevelType w:val="hybridMultilevel"/>
    <w:tmpl w:val="F238E12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24"/>
  </w:num>
  <w:num w:numId="5">
    <w:abstractNumId w:val="27"/>
  </w:num>
  <w:num w:numId="6">
    <w:abstractNumId w:val="14"/>
  </w:num>
  <w:num w:numId="7">
    <w:abstractNumId w:val="20"/>
  </w:num>
  <w:num w:numId="8">
    <w:abstractNumId w:val="2"/>
  </w:num>
  <w:num w:numId="9">
    <w:abstractNumId w:val="6"/>
  </w:num>
  <w:num w:numId="10">
    <w:abstractNumId w:val="8"/>
  </w:num>
  <w:num w:numId="11">
    <w:abstractNumId w:val="15"/>
  </w:num>
  <w:num w:numId="12">
    <w:abstractNumId w:val="3"/>
  </w:num>
  <w:num w:numId="13">
    <w:abstractNumId w:val="12"/>
  </w:num>
  <w:num w:numId="14">
    <w:abstractNumId w:val="18"/>
  </w:num>
  <w:num w:numId="15">
    <w:abstractNumId w:val="11"/>
  </w:num>
  <w:num w:numId="16">
    <w:abstractNumId w:val="19"/>
  </w:num>
  <w:num w:numId="17">
    <w:abstractNumId w:val="28"/>
  </w:num>
  <w:num w:numId="18">
    <w:abstractNumId w:val="21"/>
  </w:num>
  <w:num w:numId="19">
    <w:abstractNumId w:val="9"/>
  </w:num>
  <w:num w:numId="20">
    <w:abstractNumId w:val="4"/>
  </w:num>
  <w:num w:numId="21">
    <w:abstractNumId w:val="23"/>
  </w:num>
  <w:num w:numId="2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</w:num>
  <w:num w:numId="26">
    <w:abstractNumId w:val="22"/>
  </w:num>
  <w:num w:numId="27">
    <w:abstractNumId w:val="13"/>
  </w:num>
  <w:num w:numId="28">
    <w:abstractNumId w:val="7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CE0"/>
    <w:rsid w:val="00005A52"/>
    <w:rsid w:val="0001016D"/>
    <w:rsid w:val="000119F8"/>
    <w:rsid w:val="000122DE"/>
    <w:rsid w:val="00026482"/>
    <w:rsid w:val="00034A97"/>
    <w:rsid w:val="00034DB3"/>
    <w:rsid w:val="000375AA"/>
    <w:rsid w:val="0004309F"/>
    <w:rsid w:val="0005224D"/>
    <w:rsid w:val="000527AC"/>
    <w:rsid w:val="00061C08"/>
    <w:rsid w:val="000663DE"/>
    <w:rsid w:val="00066556"/>
    <w:rsid w:val="0006690C"/>
    <w:rsid w:val="000708F2"/>
    <w:rsid w:val="00070907"/>
    <w:rsid w:val="00073E74"/>
    <w:rsid w:val="0007787D"/>
    <w:rsid w:val="000821E4"/>
    <w:rsid w:val="000846E5"/>
    <w:rsid w:val="00092DFC"/>
    <w:rsid w:val="00092F45"/>
    <w:rsid w:val="000A05A5"/>
    <w:rsid w:val="000B475C"/>
    <w:rsid w:val="000C501B"/>
    <w:rsid w:val="000D1D63"/>
    <w:rsid w:val="000D3AC2"/>
    <w:rsid w:val="000E3AD3"/>
    <w:rsid w:val="000E3F65"/>
    <w:rsid w:val="000F3931"/>
    <w:rsid w:val="000F7D6A"/>
    <w:rsid w:val="00100DCD"/>
    <w:rsid w:val="00107B0D"/>
    <w:rsid w:val="00125401"/>
    <w:rsid w:val="00125943"/>
    <w:rsid w:val="00125AEE"/>
    <w:rsid w:val="001463BF"/>
    <w:rsid w:val="0014684C"/>
    <w:rsid w:val="001549CA"/>
    <w:rsid w:val="00174639"/>
    <w:rsid w:val="001803EE"/>
    <w:rsid w:val="00184951"/>
    <w:rsid w:val="00185E7C"/>
    <w:rsid w:val="001868DD"/>
    <w:rsid w:val="00186DB7"/>
    <w:rsid w:val="001915BE"/>
    <w:rsid w:val="001A061E"/>
    <w:rsid w:val="001B7A37"/>
    <w:rsid w:val="001C1C98"/>
    <w:rsid w:val="001C2741"/>
    <w:rsid w:val="001C41BE"/>
    <w:rsid w:val="001D7D32"/>
    <w:rsid w:val="001E0846"/>
    <w:rsid w:val="001E1A53"/>
    <w:rsid w:val="001E4305"/>
    <w:rsid w:val="001F0038"/>
    <w:rsid w:val="001F30F1"/>
    <w:rsid w:val="001F5441"/>
    <w:rsid w:val="00210AFE"/>
    <w:rsid w:val="00210B93"/>
    <w:rsid w:val="00212994"/>
    <w:rsid w:val="002132CC"/>
    <w:rsid w:val="00223E1A"/>
    <w:rsid w:val="00224586"/>
    <w:rsid w:val="00231C89"/>
    <w:rsid w:val="00234D4D"/>
    <w:rsid w:val="0024187D"/>
    <w:rsid w:val="002759A0"/>
    <w:rsid w:val="002875E9"/>
    <w:rsid w:val="00290CE0"/>
    <w:rsid w:val="002A2892"/>
    <w:rsid w:val="002A2F3E"/>
    <w:rsid w:val="002B05E0"/>
    <w:rsid w:val="002B562E"/>
    <w:rsid w:val="002C0038"/>
    <w:rsid w:val="002C67CC"/>
    <w:rsid w:val="002D122C"/>
    <w:rsid w:val="002E3B38"/>
    <w:rsid w:val="002F3064"/>
    <w:rsid w:val="002F468B"/>
    <w:rsid w:val="002F72C2"/>
    <w:rsid w:val="003006BF"/>
    <w:rsid w:val="003029A1"/>
    <w:rsid w:val="00310085"/>
    <w:rsid w:val="003108FE"/>
    <w:rsid w:val="00313724"/>
    <w:rsid w:val="00314ECB"/>
    <w:rsid w:val="0031614D"/>
    <w:rsid w:val="00316355"/>
    <w:rsid w:val="003166C8"/>
    <w:rsid w:val="00327977"/>
    <w:rsid w:val="003310F4"/>
    <w:rsid w:val="0034134C"/>
    <w:rsid w:val="0034259A"/>
    <w:rsid w:val="0034282F"/>
    <w:rsid w:val="00343AB3"/>
    <w:rsid w:val="003519C9"/>
    <w:rsid w:val="003651F5"/>
    <w:rsid w:val="003804FD"/>
    <w:rsid w:val="00382303"/>
    <w:rsid w:val="00382DA7"/>
    <w:rsid w:val="003932D0"/>
    <w:rsid w:val="003958FD"/>
    <w:rsid w:val="003A4094"/>
    <w:rsid w:val="003B5DB7"/>
    <w:rsid w:val="003B78DA"/>
    <w:rsid w:val="003C1F9B"/>
    <w:rsid w:val="003C4A8A"/>
    <w:rsid w:val="003D19ED"/>
    <w:rsid w:val="003D4AE2"/>
    <w:rsid w:val="003E3ECB"/>
    <w:rsid w:val="003E49DC"/>
    <w:rsid w:val="003F14A7"/>
    <w:rsid w:val="003F6640"/>
    <w:rsid w:val="00410E19"/>
    <w:rsid w:val="0041445E"/>
    <w:rsid w:val="00415B38"/>
    <w:rsid w:val="004212F7"/>
    <w:rsid w:val="004245A2"/>
    <w:rsid w:val="00433E7D"/>
    <w:rsid w:val="00440F40"/>
    <w:rsid w:val="00442272"/>
    <w:rsid w:val="0044248F"/>
    <w:rsid w:val="004507F1"/>
    <w:rsid w:val="00450DF8"/>
    <w:rsid w:val="00451765"/>
    <w:rsid w:val="00461978"/>
    <w:rsid w:val="00463E3F"/>
    <w:rsid w:val="00464C2F"/>
    <w:rsid w:val="00474BB9"/>
    <w:rsid w:val="0048653B"/>
    <w:rsid w:val="00494934"/>
    <w:rsid w:val="004A182B"/>
    <w:rsid w:val="004A3316"/>
    <w:rsid w:val="004B32A8"/>
    <w:rsid w:val="004B7512"/>
    <w:rsid w:val="004C2B93"/>
    <w:rsid w:val="004C7BDF"/>
    <w:rsid w:val="004C7E02"/>
    <w:rsid w:val="004D0C87"/>
    <w:rsid w:val="004D32DB"/>
    <w:rsid w:val="004D59C5"/>
    <w:rsid w:val="0050096E"/>
    <w:rsid w:val="005048FC"/>
    <w:rsid w:val="005157C3"/>
    <w:rsid w:val="0051648E"/>
    <w:rsid w:val="00517F75"/>
    <w:rsid w:val="00525E1D"/>
    <w:rsid w:val="0053282A"/>
    <w:rsid w:val="0053301D"/>
    <w:rsid w:val="0053678C"/>
    <w:rsid w:val="0054204E"/>
    <w:rsid w:val="005463D0"/>
    <w:rsid w:val="00566664"/>
    <w:rsid w:val="00571D4A"/>
    <w:rsid w:val="00577840"/>
    <w:rsid w:val="00580DDA"/>
    <w:rsid w:val="00581AC4"/>
    <w:rsid w:val="005823D5"/>
    <w:rsid w:val="00583B75"/>
    <w:rsid w:val="0059263D"/>
    <w:rsid w:val="005B4EDE"/>
    <w:rsid w:val="005B6153"/>
    <w:rsid w:val="005B676E"/>
    <w:rsid w:val="005B7052"/>
    <w:rsid w:val="005B735B"/>
    <w:rsid w:val="005C1E8F"/>
    <w:rsid w:val="005C36C0"/>
    <w:rsid w:val="005C41D9"/>
    <w:rsid w:val="005D0C03"/>
    <w:rsid w:val="005D2C8C"/>
    <w:rsid w:val="005D392B"/>
    <w:rsid w:val="005F44C8"/>
    <w:rsid w:val="0060368E"/>
    <w:rsid w:val="0060696E"/>
    <w:rsid w:val="00612A5C"/>
    <w:rsid w:val="00613425"/>
    <w:rsid w:val="00616E37"/>
    <w:rsid w:val="00633490"/>
    <w:rsid w:val="00640955"/>
    <w:rsid w:val="006500D7"/>
    <w:rsid w:val="00651CD6"/>
    <w:rsid w:val="00655342"/>
    <w:rsid w:val="00660900"/>
    <w:rsid w:val="00661103"/>
    <w:rsid w:val="00662A0F"/>
    <w:rsid w:val="00666AF1"/>
    <w:rsid w:val="00667751"/>
    <w:rsid w:val="00672CDB"/>
    <w:rsid w:val="00674553"/>
    <w:rsid w:val="00681E6B"/>
    <w:rsid w:val="006839BB"/>
    <w:rsid w:val="00690F9B"/>
    <w:rsid w:val="00697FC6"/>
    <w:rsid w:val="006A4D8E"/>
    <w:rsid w:val="006B2D54"/>
    <w:rsid w:val="006C3FF5"/>
    <w:rsid w:val="006D5A48"/>
    <w:rsid w:val="006E016B"/>
    <w:rsid w:val="006F5A47"/>
    <w:rsid w:val="0070216E"/>
    <w:rsid w:val="00703A3E"/>
    <w:rsid w:val="00713EFE"/>
    <w:rsid w:val="00720F46"/>
    <w:rsid w:val="00733672"/>
    <w:rsid w:val="00735825"/>
    <w:rsid w:val="00753340"/>
    <w:rsid w:val="007559FD"/>
    <w:rsid w:val="007660CC"/>
    <w:rsid w:val="00776D8D"/>
    <w:rsid w:val="00777E73"/>
    <w:rsid w:val="0078187E"/>
    <w:rsid w:val="00782104"/>
    <w:rsid w:val="007847DF"/>
    <w:rsid w:val="00787C24"/>
    <w:rsid w:val="0079136B"/>
    <w:rsid w:val="0079153C"/>
    <w:rsid w:val="007A4AFF"/>
    <w:rsid w:val="007A590A"/>
    <w:rsid w:val="007B3C66"/>
    <w:rsid w:val="007B7C38"/>
    <w:rsid w:val="007C0D0D"/>
    <w:rsid w:val="007D08D1"/>
    <w:rsid w:val="007D4188"/>
    <w:rsid w:val="007D4FAF"/>
    <w:rsid w:val="007E0077"/>
    <w:rsid w:val="007E25B9"/>
    <w:rsid w:val="007F419B"/>
    <w:rsid w:val="007F5F45"/>
    <w:rsid w:val="007F6515"/>
    <w:rsid w:val="00801E50"/>
    <w:rsid w:val="008020A7"/>
    <w:rsid w:val="00810E14"/>
    <w:rsid w:val="00817D7A"/>
    <w:rsid w:val="008442AF"/>
    <w:rsid w:val="00844D44"/>
    <w:rsid w:val="008457D0"/>
    <w:rsid w:val="00846865"/>
    <w:rsid w:val="00847987"/>
    <w:rsid w:val="00854BFC"/>
    <w:rsid w:val="008564D7"/>
    <w:rsid w:val="00865EC3"/>
    <w:rsid w:val="008665FF"/>
    <w:rsid w:val="0087244F"/>
    <w:rsid w:val="00876AC6"/>
    <w:rsid w:val="0088517B"/>
    <w:rsid w:val="0088633E"/>
    <w:rsid w:val="008922A1"/>
    <w:rsid w:val="008B64FA"/>
    <w:rsid w:val="008C34B3"/>
    <w:rsid w:val="008C398E"/>
    <w:rsid w:val="008C3B28"/>
    <w:rsid w:val="008D0B84"/>
    <w:rsid w:val="008D12FA"/>
    <w:rsid w:val="008D461D"/>
    <w:rsid w:val="008E1EA2"/>
    <w:rsid w:val="008E4B4C"/>
    <w:rsid w:val="008E61FD"/>
    <w:rsid w:val="008F3660"/>
    <w:rsid w:val="0090115E"/>
    <w:rsid w:val="0090612B"/>
    <w:rsid w:val="00917549"/>
    <w:rsid w:val="0092188C"/>
    <w:rsid w:val="00925253"/>
    <w:rsid w:val="00942A1F"/>
    <w:rsid w:val="009433AE"/>
    <w:rsid w:val="00962A17"/>
    <w:rsid w:val="00984B5E"/>
    <w:rsid w:val="009853AF"/>
    <w:rsid w:val="0098607C"/>
    <w:rsid w:val="00992C20"/>
    <w:rsid w:val="00992F2A"/>
    <w:rsid w:val="0099792E"/>
    <w:rsid w:val="009B2629"/>
    <w:rsid w:val="009C0BB4"/>
    <w:rsid w:val="009C3377"/>
    <w:rsid w:val="009D62C4"/>
    <w:rsid w:val="009E7511"/>
    <w:rsid w:val="00A126B8"/>
    <w:rsid w:val="00A156DA"/>
    <w:rsid w:val="00A16BDB"/>
    <w:rsid w:val="00A26E92"/>
    <w:rsid w:val="00A324B9"/>
    <w:rsid w:val="00A40D6C"/>
    <w:rsid w:val="00A42DC3"/>
    <w:rsid w:val="00A500AF"/>
    <w:rsid w:val="00A5296F"/>
    <w:rsid w:val="00A67F1E"/>
    <w:rsid w:val="00A72EF6"/>
    <w:rsid w:val="00A77F31"/>
    <w:rsid w:val="00A81931"/>
    <w:rsid w:val="00AA3F5A"/>
    <w:rsid w:val="00AB787A"/>
    <w:rsid w:val="00AC014F"/>
    <w:rsid w:val="00AC2772"/>
    <w:rsid w:val="00AC5D48"/>
    <w:rsid w:val="00AD26A1"/>
    <w:rsid w:val="00AE3569"/>
    <w:rsid w:val="00AE56BF"/>
    <w:rsid w:val="00AE5B9B"/>
    <w:rsid w:val="00AF5768"/>
    <w:rsid w:val="00AF6DFA"/>
    <w:rsid w:val="00B034D1"/>
    <w:rsid w:val="00B156D9"/>
    <w:rsid w:val="00B16B80"/>
    <w:rsid w:val="00B220C4"/>
    <w:rsid w:val="00B24D4A"/>
    <w:rsid w:val="00B254C3"/>
    <w:rsid w:val="00B26524"/>
    <w:rsid w:val="00B3064F"/>
    <w:rsid w:val="00B30F2A"/>
    <w:rsid w:val="00B327C2"/>
    <w:rsid w:val="00B33559"/>
    <w:rsid w:val="00B35830"/>
    <w:rsid w:val="00B3702C"/>
    <w:rsid w:val="00B454F4"/>
    <w:rsid w:val="00B5268D"/>
    <w:rsid w:val="00B55D2C"/>
    <w:rsid w:val="00B61B66"/>
    <w:rsid w:val="00B6279B"/>
    <w:rsid w:val="00B635F5"/>
    <w:rsid w:val="00B64E24"/>
    <w:rsid w:val="00B66465"/>
    <w:rsid w:val="00B67253"/>
    <w:rsid w:val="00B8300B"/>
    <w:rsid w:val="00B83B8B"/>
    <w:rsid w:val="00B86B7C"/>
    <w:rsid w:val="00B950E9"/>
    <w:rsid w:val="00B97EE2"/>
    <w:rsid w:val="00BA09C0"/>
    <w:rsid w:val="00BA736B"/>
    <w:rsid w:val="00BA7F99"/>
    <w:rsid w:val="00BC4303"/>
    <w:rsid w:val="00BD733C"/>
    <w:rsid w:val="00BE1514"/>
    <w:rsid w:val="00BE45E8"/>
    <w:rsid w:val="00BE5C40"/>
    <w:rsid w:val="00BE736C"/>
    <w:rsid w:val="00BF0D15"/>
    <w:rsid w:val="00BF601A"/>
    <w:rsid w:val="00C06C21"/>
    <w:rsid w:val="00C2195A"/>
    <w:rsid w:val="00C23C1A"/>
    <w:rsid w:val="00C2439B"/>
    <w:rsid w:val="00C3042F"/>
    <w:rsid w:val="00C31A52"/>
    <w:rsid w:val="00C33173"/>
    <w:rsid w:val="00C3508F"/>
    <w:rsid w:val="00C35658"/>
    <w:rsid w:val="00C41C41"/>
    <w:rsid w:val="00C42F7B"/>
    <w:rsid w:val="00C53CB4"/>
    <w:rsid w:val="00C66B21"/>
    <w:rsid w:val="00C66BD5"/>
    <w:rsid w:val="00C75407"/>
    <w:rsid w:val="00C92F1B"/>
    <w:rsid w:val="00C95CE1"/>
    <w:rsid w:val="00CD22C0"/>
    <w:rsid w:val="00CF0D19"/>
    <w:rsid w:val="00CF39A6"/>
    <w:rsid w:val="00D04F98"/>
    <w:rsid w:val="00D12BB8"/>
    <w:rsid w:val="00D14097"/>
    <w:rsid w:val="00D14EFE"/>
    <w:rsid w:val="00D16390"/>
    <w:rsid w:val="00D20C8E"/>
    <w:rsid w:val="00D20D75"/>
    <w:rsid w:val="00D212BE"/>
    <w:rsid w:val="00D21A9E"/>
    <w:rsid w:val="00D23060"/>
    <w:rsid w:val="00D26B4A"/>
    <w:rsid w:val="00D309D6"/>
    <w:rsid w:val="00D33F68"/>
    <w:rsid w:val="00D41588"/>
    <w:rsid w:val="00D44611"/>
    <w:rsid w:val="00D66599"/>
    <w:rsid w:val="00D728F5"/>
    <w:rsid w:val="00D8609A"/>
    <w:rsid w:val="00D9262C"/>
    <w:rsid w:val="00D972CF"/>
    <w:rsid w:val="00DA4099"/>
    <w:rsid w:val="00DA43F0"/>
    <w:rsid w:val="00DB4591"/>
    <w:rsid w:val="00DB4FCA"/>
    <w:rsid w:val="00DC2EC6"/>
    <w:rsid w:val="00DC783D"/>
    <w:rsid w:val="00DD0DE2"/>
    <w:rsid w:val="00DE184B"/>
    <w:rsid w:val="00DE7ED9"/>
    <w:rsid w:val="00DF1791"/>
    <w:rsid w:val="00DF2792"/>
    <w:rsid w:val="00DF2D45"/>
    <w:rsid w:val="00DF44B3"/>
    <w:rsid w:val="00DF79C4"/>
    <w:rsid w:val="00E01D5C"/>
    <w:rsid w:val="00E054D4"/>
    <w:rsid w:val="00E423B9"/>
    <w:rsid w:val="00E46C6E"/>
    <w:rsid w:val="00E519B0"/>
    <w:rsid w:val="00E54FF3"/>
    <w:rsid w:val="00E56E1A"/>
    <w:rsid w:val="00E6730B"/>
    <w:rsid w:val="00E74AF4"/>
    <w:rsid w:val="00E7675B"/>
    <w:rsid w:val="00E83541"/>
    <w:rsid w:val="00E876C2"/>
    <w:rsid w:val="00EA14C8"/>
    <w:rsid w:val="00EA4089"/>
    <w:rsid w:val="00EB4491"/>
    <w:rsid w:val="00EB5320"/>
    <w:rsid w:val="00EB7946"/>
    <w:rsid w:val="00EC0787"/>
    <w:rsid w:val="00ED4253"/>
    <w:rsid w:val="00EE5E52"/>
    <w:rsid w:val="00EF673D"/>
    <w:rsid w:val="00EF75C4"/>
    <w:rsid w:val="00F1157B"/>
    <w:rsid w:val="00F1466E"/>
    <w:rsid w:val="00F328B5"/>
    <w:rsid w:val="00F3502B"/>
    <w:rsid w:val="00F35891"/>
    <w:rsid w:val="00F4033F"/>
    <w:rsid w:val="00F415D6"/>
    <w:rsid w:val="00F564B7"/>
    <w:rsid w:val="00F61CF7"/>
    <w:rsid w:val="00F75E8B"/>
    <w:rsid w:val="00F8175D"/>
    <w:rsid w:val="00F81F5C"/>
    <w:rsid w:val="00F83032"/>
    <w:rsid w:val="00F85570"/>
    <w:rsid w:val="00FA2A77"/>
    <w:rsid w:val="00FB20A1"/>
    <w:rsid w:val="00FB3DE8"/>
    <w:rsid w:val="00FC206B"/>
    <w:rsid w:val="00FC588F"/>
    <w:rsid w:val="00FC799E"/>
    <w:rsid w:val="00FE21DA"/>
    <w:rsid w:val="00FF2D97"/>
    <w:rsid w:val="00FF3930"/>
    <w:rsid w:val="00FF512A"/>
    <w:rsid w:val="00FF54C5"/>
    <w:rsid w:val="00FF6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08FFB0"/>
  <w15:chartTrackingRefBased/>
  <w15:docId w15:val="{EF19EC55-BA73-4995-9C1E-CBA005A92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1E50"/>
    <w:pPr>
      <w:spacing w:afterLines="80" w:after="80" w:line="300" w:lineRule="auto"/>
      <w:jc w:val="both"/>
    </w:pPr>
    <w:rPr>
      <w:rFonts w:ascii="Arial" w:hAnsi="Arial" w:cs="Arial"/>
      <w:noProof/>
      <w:snapToGrid w:val="0"/>
      <w:lang w:eastAsia="en-US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b/>
      <w:bCs/>
      <w:kern w:val="28"/>
      <w:sz w:val="28"/>
      <w:szCs w:val="28"/>
      <w:lang w:val="sk-SK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b/>
      <w:bCs/>
    </w:rPr>
  </w:style>
  <w:style w:type="paragraph" w:styleId="Nadpis3">
    <w:name w:val="heading 3"/>
    <w:basedOn w:val="Normln"/>
    <w:next w:val="Normln"/>
    <w:qFormat/>
    <w:pPr>
      <w:keepNext/>
      <w:spacing w:line="240" w:lineRule="atLeast"/>
      <w:outlineLvl w:val="2"/>
    </w:pPr>
    <w:rPr>
      <w:b/>
      <w:bCs/>
      <w:color w:val="000000"/>
      <w:lang w:val="en-GB"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b/>
      <w:bCs/>
      <w:sz w:val="24"/>
      <w:szCs w:val="24"/>
      <w:lang w:val="en-GB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semiHidden/>
    <w:pPr>
      <w:tabs>
        <w:tab w:val="center" w:pos="4153"/>
        <w:tab w:val="right" w:pos="8306"/>
      </w:tabs>
    </w:pPr>
  </w:style>
  <w:style w:type="paragraph" w:styleId="Zpat">
    <w:name w:val="footer"/>
    <w:basedOn w:val="Normln"/>
    <w:link w:val="ZpatChar"/>
    <w:semiHidden/>
    <w:pPr>
      <w:tabs>
        <w:tab w:val="center" w:pos="4153"/>
        <w:tab w:val="right" w:pos="8306"/>
      </w:tabs>
    </w:pPr>
  </w:style>
  <w:style w:type="paragraph" w:customStyle="1" w:styleId="ABLOCKPARA">
    <w:name w:val="A BLOCK PARA"/>
    <w:basedOn w:val="Normln"/>
    <w:rPr>
      <w:lang w:val="sk-SK"/>
    </w:rPr>
  </w:style>
  <w:style w:type="character" w:styleId="Hypertextovodkaz">
    <w:name w:val="Hyperlink"/>
    <w:uiPriority w:val="99"/>
    <w:rPr>
      <w:color w:val="0000FF"/>
      <w:u w:val="single"/>
    </w:rPr>
  </w:style>
  <w:style w:type="paragraph" w:styleId="Zkladntext">
    <w:name w:val="Body Text"/>
    <w:basedOn w:val="Normln"/>
    <w:semiHidden/>
    <w:rPr>
      <w:lang w:val="sk-SK"/>
    </w:rPr>
  </w:style>
  <w:style w:type="paragraph" w:customStyle="1" w:styleId="FormtovanvHTML1">
    <w:name w:val="Formátovaný v HTML1"/>
    <w:basedOn w:val="Normln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Times New Roman" w:hAnsi="Times New Roman"/>
    </w:rPr>
  </w:style>
  <w:style w:type="paragraph" w:styleId="Zkladntextodsazen">
    <w:name w:val="Body Text Indent"/>
    <w:basedOn w:val="Normln"/>
    <w:semiHidden/>
    <w:rPr>
      <w:rFonts w:ascii="Times New Roman" w:hAnsi="Times New Roman"/>
      <w:sz w:val="24"/>
      <w:szCs w:val="24"/>
    </w:rPr>
  </w:style>
  <w:style w:type="character" w:customStyle="1" w:styleId="bod1">
    <w:name w:val="bod1"/>
    <w:rPr>
      <w:rFonts w:ascii="Arial" w:hAnsi="Arial" w:cs="Arial"/>
      <w:sz w:val="18"/>
      <w:szCs w:val="18"/>
    </w:rPr>
  </w:style>
  <w:style w:type="paragraph" w:styleId="Normlnweb">
    <w:name w:val="Normal (Web)"/>
    <w:basedOn w:val="Normln"/>
    <w:semiHidden/>
    <w:pPr>
      <w:spacing w:before="100" w:beforeAutospacing="1" w:after="100" w:afterAutospacing="1"/>
    </w:pPr>
    <w:rPr>
      <w:sz w:val="18"/>
      <w:szCs w:val="18"/>
      <w:lang w:val="en-GB"/>
    </w:rPr>
  </w:style>
  <w:style w:type="character" w:styleId="Siln">
    <w:name w:val="Strong"/>
    <w:uiPriority w:val="22"/>
    <w:qFormat/>
    <w:rPr>
      <w:b/>
      <w:bCs/>
    </w:rPr>
  </w:style>
  <w:style w:type="paragraph" w:customStyle="1" w:styleId="Textbubliny1">
    <w:name w:val="Text bubliny1"/>
    <w:basedOn w:val="Normln"/>
    <w:rPr>
      <w:rFonts w:ascii="Times New Roman" w:hAnsi="Times New Roman"/>
      <w:sz w:val="16"/>
      <w:szCs w:val="16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</w:style>
  <w:style w:type="paragraph" w:customStyle="1" w:styleId="Pedmtkomente1">
    <w:name w:val="Předmět komentáře1"/>
    <w:basedOn w:val="Textkomente"/>
    <w:next w:val="Textkomente"/>
    <w:rPr>
      <w:b/>
      <w:bCs/>
    </w:rPr>
  </w:style>
  <w:style w:type="paragraph" w:styleId="Prosttext">
    <w:name w:val="Plain Text"/>
    <w:basedOn w:val="Normln"/>
    <w:semiHidden/>
    <w:rPr>
      <w:rFonts w:ascii="Courier New" w:hAnsi="Courier New" w:cs="Courier New"/>
    </w:rPr>
  </w:style>
  <w:style w:type="character" w:styleId="Sledovanodkaz">
    <w:name w:val="FollowedHyperlink"/>
    <w:semiHidden/>
    <w:rPr>
      <w:color w:val="800080"/>
      <w:u w:val="single"/>
    </w:rPr>
  </w:style>
  <w:style w:type="paragraph" w:customStyle="1" w:styleId="Odstavecseseznamem1">
    <w:name w:val="Odstavec se seznamem1"/>
    <w:basedOn w:val="Normln"/>
    <w:pPr>
      <w:spacing w:after="200" w:line="276" w:lineRule="auto"/>
      <w:ind w:left="720"/>
    </w:pPr>
    <w:rPr>
      <w:rFonts w:ascii="Calibri" w:hAnsi="Calibri"/>
    </w:rPr>
  </w:style>
  <w:style w:type="paragraph" w:customStyle="1" w:styleId="COVNormal">
    <w:name w:val="COV_Normal"/>
    <w:basedOn w:val="Normln"/>
    <w:pPr>
      <w:spacing w:before="120" w:after="120"/>
      <w:ind w:left="2279"/>
    </w:pPr>
  </w:style>
  <w:style w:type="paragraph" w:customStyle="1" w:styleId="default">
    <w:name w:val="default"/>
    <w:basedOn w:val="Normln"/>
    <w:pPr>
      <w:autoSpaceDE w:val="0"/>
      <w:autoSpaceDN w:val="0"/>
    </w:pPr>
    <w:rPr>
      <w:rFonts w:ascii="Times New Roman" w:hAnsi="Times New Roman"/>
      <w:color w:val="000000"/>
      <w:sz w:val="24"/>
      <w:szCs w:val="24"/>
    </w:rPr>
  </w:style>
  <w:style w:type="character" w:customStyle="1" w:styleId="tw4winMark">
    <w:name w:val="tw4winMark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rPr>
      <w:color w:val="0000FF"/>
    </w:rPr>
  </w:style>
  <w:style w:type="character" w:customStyle="1" w:styleId="tw4winPopup">
    <w:name w:val="tw4winPopup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rPr>
      <w:rFonts w:ascii="Courier New" w:hAnsi="Courier New" w:cs="Courier New"/>
      <w:noProof/>
      <w:color w:val="8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56E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56E1A"/>
    <w:rPr>
      <w:rFonts w:ascii="Tahoma" w:hAnsi="Tahoma" w:cs="Tahoma"/>
      <w:snapToGrid w:val="0"/>
      <w:sz w:val="16"/>
      <w:szCs w:val="16"/>
      <w:lang w:val="en-US"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40F40"/>
    <w:rPr>
      <w:b/>
      <w:bCs/>
    </w:rPr>
  </w:style>
  <w:style w:type="character" w:customStyle="1" w:styleId="TextkomenteChar">
    <w:name w:val="Text komentáře Char"/>
    <w:link w:val="Textkomente"/>
    <w:uiPriority w:val="99"/>
    <w:rsid w:val="00440F40"/>
    <w:rPr>
      <w:rFonts w:ascii="Book Antiqua" w:hAnsi="Book Antiqua"/>
      <w:snapToGrid w:val="0"/>
      <w:lang w:val="en-US" w:eastAsia="en-US"/>
    </w:rPr>
  </w:style>
  <w:style w:type="character" w:customStyle="1" w:styleId="PedmtkomenteChar">
    <w:name w:val="Předmět komentáře Char"/>
    <w:link w:val="Pedmtkomente"/>
    <w:rsid w:val="00440F40"/>
    <w:rPr>
      <w:rFonts w:ascii="Book Antiqua" w:hAnsi="Book Antiqua"/>
      <w:snapToGrid w:val="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B83B8B"/>
    <w:pPr>
      <w:ind w:left="720"/>
      <w:contextualSpacing/>
    </w:pPr>
  </w:style>
  <w:style w:type="paragraph" w:styleId="Revize">
    <w:name w:val="Revision"/>
    <w:hidden/>
    <w:uiPriority w:val="99"/>
    <w:semiHidden/>
    <w:rsid w:val="007660CC"/>
    <w:rPr>
      <w:rFonts w:ascii="Book Antiqua" w:hAnsi="Book Antiqua"/>
      <w:snapToGrid w:val="0"/>
      <w:sz w:val="22"/>
      <w:szCs w:val="22"/>
      <w:lang w:val="en-US"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034DB3"/>
    <w:rPr>
      <w:rFonts w:ascii="Calibri" w:eastAsia="Calibri" w:hAnsi="Calibri"/>
      <w:snapToGrid/>
      <w:lang w:eastAsia="en-GB"/>
    </w:rPr>
  </w:style>
  <w:style w:type="character" w:customStyle="1" w:styleId="TextpoznpodarouChar">
    <w:name w:val="Text pozn. pod čarou Char"/>
    <w:link w:val="Textpoznpodarou"/>
    <w:uiPriority w:val="99"/>
    <w:rsid w:val="00034DB3"/>
    <w:rPr>
      <w:rFonts w:ascii="Calibri" w:eastAsia="Calibri" w:hAnsi="Calibri"/>
      <w:lang w:val="en-US" w:eastAsia="en-GB"/>
    </w:rPr>
  </w:style>
  <w:style w:type="character" w:styleId="Znakapoznpodarou">
    <w:name w:val="footnote reference"/>
    <w:uiPriority w:val="99"/>
    <w:semiHidden/>
    <w:unhideWhenUsed/>
    <w:rsid w:val="00034DB3"/>
    <w:rPr>
      <w:vertAlign w:val="superscript"/>
    </w:rPr>
  </w:style>
  <w:style w:type="character" w:customStyle="1" w:styleId="ZhlavChar">
    <w:name w:val="Záhlaví Char"/>
    <w:link w:val="Zhlav"/>
    <w:semiHidden/>
    <w:rsid w:val="003006BF"/>
    <w:rPr>
      <w:rFonts w:ascii="Book Antiqua" w:hAnsi="Book Antiqua"/>
      <w:snapToGrid w:val="0"/>
      <w:sz w:val="22"/>
      <w:szCs w:val="22"/>
      <w:lang w:val="en-US" w:eastAsia="en-US"/>
    </w:rPr>
  </w:style>
  <w:style w:type="paragraph" w:styleId="Bezmezer">
    <w:name w:val="No Spacing"/>
    <w:uiPriority w:val="1"/>
    <w:qFormat/>
    <w:rsid w:val="0098607C"/>
    <w:pPr>
      <w:spacing w:afterLines="80"/>
      <w:jc w:val="both"/>
    </w:pPr>
    <w:rPr>
      <w:rFonts w:ascii="Arial" w:hAnsi="Arial" w:cs="Arial"/>
      <w:noProof/>
      <w:snapToGrid w:val="0"/>
      <w:lang w:eastAsia="en-US"/>
    </w:rPr>
  </w:style>
  <w:style w:type="character" w:styleId="Nevyeenzmnka">
    <w:name w:val="Unresolved Mention"/>
    <w:uiPriority w:val="99"/>
    <w:semiHidden/>
    <w:unhideWhenUsed/>
    <w:rsid w:val="00290CE0"/>
    <w:rPr>
      <w:color w:val="605E5C"/>
      <w:shd w:val="clear" w:color="auto" w:fill="E1DFDD"/>
    </w:rPr>
  </w:style>
  <w:style w:type="character" w:customStyle="1" w:styleId="ZpatChar">
    <w:name w:val="Zápatí Char"/>
    <w:link w:val="Zpat"/>
    <w:semiHidden/>
    <w:rsid w:val="00290CE0"/>
    <w:rPr>
      <w:rFonts w:ascii="Arial" w:hAnsi="Arial" w:cs="Arial"/>
      <w:noProof/>
      <w:snapToGrid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7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2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380147">
          <w:marLeft w:val="0"/>
          <w:marRight w:val="0"/>
          <w:marTop w:val="90"/>
          <w:marBottom w:val="75"/>
          <w:divBdr>
            <w:top w:val="dashed" w:sz="6" w:space="5" w:color="B2B2B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5146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463532">
          <w:marLeft w:val="0"/>
          <w:marRight w:val="0"/>
          <w:marTop w:val="9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11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7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centure.com/us-en/insights/security/invest-cyber-resilience" TargetMode="External"/><Relationship Id="rId13" Type="http://schemas.openxmlformats.org/officeDocument/2006/relationships/hyperlink" Target="mailto:lukas.vejnar@accenture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ccenture.com/cz-en/about/company/newsro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ccenture.co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marketa.cinkova@aspen.pr" TargetMode="External"/><Relationship Id="rId10" Type="http://schemas.openxmlformats.org/officeDocument/2006/relationships/hyperlink" Target="https://www.accenture.com/us-en/insights/security/invest-cyber-resilienc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mailto:petr.jarkovsky@aspen.p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Accenture_4_2021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C8D3A6-2019-4BCE-84AF-81A8D639A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Accenture_4_2021</Template>
  <TotalTime>3</TotalTime>
  <Pages>3</Pages>
  <Words>838</Words>
  <Characters>4947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Accenture</Company>
  <LinksUpToDate>false</LinksUpToDate>
  <CharactersWithSpaces>5774</CharactersWithSpaces>
  <SharedDoc>false</SharedDoc>
  <HLinks>
    <vt:vector size="18" baseType="variant">
      <vt:variant>
        <vt:i4>7667734</vt:i4>
      </vt:variant>
      <vt:variant>
        <vt:i4>6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5832721</vt:i4>
      </vt:variant>
      <vt:variant>
        <vt:i4>0</vt:i4>
      </vt:variant>
      <vt:variant>
        <vt:i4>0</vt:i4>
      </vt:variant>
      <vt:variant>
        <vt:i4>5</vt:i4>
      </vt:variant>
      <vt:variant>
        <vt:lpwstr>http://www.accenture.com/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Cinková</dc:creator>
  <cp:keywords/>
  <cp:lastModifiedBy>Šárka Lachoutová - ASPEN.PR</cp:lastModifiedBy>
  <cp:revision>2</cp:revision>
  <cp:lastPrinted>2004-08-03T08:51:00Z</cp:lastPrinted>
  <dcterms:created xsi:type="dcterms:W3CDTF">2021-12-11T18:59:00Z</dcterms:created>
  <dcterms:modified xsi:type="dcterms:W3CDTF">2021-12-11T18:59:00Z</dcterms:modified>
</cp:coreProperties>
</file>