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EBB93" w14:textId="77777777" w:rsidR="004C7BDF" w:rsidRDefault="004C7BDF" w:rsidP="00713EFE">
      <w:pPr>
        <w:pStyle w:val="Zkladntext"/>
        <w:spacing w:after="192"/>
        <w:jc w:val="left"/>
        <w:rPr>
          <w:sz w:val="28"/>
          <w:szCs w:val="28"/>
          <w:lang w:val="cs-CZ"/>
        </w:rPr>
      </w:pPr>
    </w:p>
    <w:p w14:paraId="74CED6FC" w14:textId="68CA4DC6" w:rsidR="002132CC" w:rsidRPr="00BA736B" w:rsidRDefault="002132CC" w:rsidP="00713EFE">
      <w:pPr>
        <w:pStyle w:val="Zkladntext"/>
        <w:spacing w:after="192"/>
        <w:jc w:val="left"/>
        <w:rPr>
          <w:sz w:val="28"/>
          <w:szCs w:val="28"/>
          <w:lang w:val="cs-CZ"/>
        </w:rPr>
      </w:pPr>
      <w:r w:rsidRPr="00BA736B">
        <w:rPr>
          <w:sz w:val="28"/>
          <w:szCs w:val="28"/>
          <w:lang w:val="cs-CZ"/>
        </w:rPr>
        <w:t>TISKOVÁ ZPRÁVA</w:t>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00DE456E">
        <w:rPr>
          <w:sz w:val="28"/>
          <w:szCs w:val="28"/>
          <w:lang w:val="cs-CZ"/>
        </w:rPr>
        <w:t>18</w:t>
      </w:r>
      <w:r w:rsidR="0098607C">
        <w:rPr>
          <w:sz w:val="28"/>
          <w:szCs w:val="28"/>
          <w:lang w:val="cs-CZ"/>
        </w:rPr>
        <w:t xml:space="preserve">. </w:t>
      </w:r>
      <w:r w:rsidR="00DE456E">
        <w:rPr>
          <w:sz w:val="28"/>
          <w:szCs w:val="28"/>
          <w:lang w:val="cs-CZ"/>
        </w:rPr>
        <w:t>1</w:t>
      </w:r>
      <w:r w:rsidR="0098607C">
        <w:rPr>
          <w:sz w:val="28"/>
          <w:szCs w:val="28"/>
          <w:lang w:val="cs-CZ"/>
        </w:rPr>
        <w:t>. 202</w:t>
      </w:r>
      <w:r w:rsidR="00DE456E">
        <w:rPr>
          <w:sz w:val="28"/>
          <w:szCs w:val="28"/>
          <w:lang w:val="cs-CZ"/>
        </w:rPr>
        <w:t>2</w:t>
      </w:r>
    </w:p>
    <w:p w14:paraId="3E1A778F" w14:textId="77777777" w:rsidR="009C3377" w:rsidRPr="00BA736B" w:rsidRDefault="009C3377" w:rsidP="00713EFE">
      <w:pPr>
        <w:spacing w:before="280" w:after="192"/>
        <w:rPr>
          <w:b/>
          <w:bCs/>
          <w:sz w:val="24"/>
          <w:szCs w:val="24"/>
        </w:rPr>
      </w:pPr>
    </w:p>
    <w:p w14:paraId="604C90FA" w14:textId="081C1F87" w:rsidR="00DE456E" w:rsidRPr="00DE456E" w:rsidRDefault="00DE456E" w:rsidP="00DE456E">
      <w:pPr>
        <w:spacing w:before="280" w:after="192"/>
        <w:rPr>
          <w:b/>
          <w:bCs/>
          <w:sz w:val="24"/>
          <w:szCs w:val="24"/>
        </w:rPr>
      </w:pPr>
      <w:r w:rsidRPr="00DE456E">
        <w:rPr>
          <w:b/>
          <w:bCs/>
          <w:sz w:val="24"/>
          <w:szCs w:val="24"/>
        </w:rPr>
        <w:t>Nákupy na sociálních sítích do roku 2025 celosvětově výrazně vzrostou, uvádí zpráva společnosti Accenture</w:t>
      </w:r>
    </w:p>
    <w:p w14:paraId="2349CB5E" w14:textId="5593E133" w:rsidR="002875E9" w:rsidRPr="002875E9" w:rsidRDefault="00DE456E" w:rsidP="00713EFE">
      <w:pPr>
        <w:spacing w:before="280" w:after="192"/>
        <w:rPr>
          <w:b/>
          <w:bCs/>
        </w:rPr>
      </w:pPr>
      <w:r w:rsidRPr="00DE456E">
        <w:rPr>
          <w:b/>
          <w:bCs/>
        </w:rPr>
        <w:t>Předpokládá se, že k růstu nákupů přispěje především generace Z a mileniálové</w:t>
      </w:r>
    </w:p>
    <w:p w14:paraId="008E1C6D" w14:textId="77777777" w:rsidR="00DE456E" w:rsidRDefault="00DE456E" w:rsidP="00DE456E">
      <w:pPr>
        <w:spacing w:afterLines="160" w:after="384"/>
      </w:pPr>
    </w:p>
    <w:p w14:paraId="20C64E9A" w14:textId="3C1158F2" w:rsidR="00DE456E" w:rsidRPr="00DE456E" w:rsidRDefault="00DE456E" w:rsidP="00DE456E">
      <w:pPr>
        <w:spacing w:afterLines="120" w:after="288"/>
      </w:pPr>
      <w:r w:rsidRPr="00DE456E">
        <w:t>Nová studie společnosti Accenture uvádí, že celosvětová oblast obchodování na sociálních sítích, která má v současné hodnotu okolo 492 miliard dolarů poroste do roku 2025 třikrát rychleji než tradiční e-commerce a může dosáhnout celkové hodnoty 1,2 bilionu dolarů. Předpokládá se, že růst potáhnou především uživatelé sociálních sítí z řad generace Z a mileniálů, kteří budou do roku 2025 stát až za 62 % celosvětové útraty na těchto platformách.</w:t>
      </w:r>
    </w:p>
    <w:p w14:paraId="72C23565" w14:textId="77777777" w:rsidR="00DE456E" w:rsidRPr="00DE456E" w:rsidRDefault="00DE456E" w:rsidP="00DE456E">
      <w:pPr>
        <w:spacing w:afterLines="120" w:after="288"/>
      </w:pPr>
      <w:r w:rsidRPr="00DE456E">
        <w:t xml:space="preserve">Tzv. social commerce znamená, že celý proces nákupu probíhá na platformě sociálních sítí, od výběru produktu až po odbavení a zaslání zákazníkovi. Až 64 % dotázaných uživatelů sociálních sítí uvedlo, že v rámci některé z platforem během posledního roku uskutečnili nákup, což podle odhadů společnosti Accenture představuje téměř 2 miliardy nakupujících na sociálních sítích po celém světě. </w:t>
      </w:r>
    </w:p>
    <w:p w14:paraId="1F876086" w14:textId="4CC47799" w:rsidR="00DE456E" w:rsidRPr="00DE456E" w:rsidRDefault="00DE456E" w:rsidP="00DE456E">
      <w:pPr>
        <w:spacing w:afterLines="120" w:after="288"/>
      </w:pPr>
      <w:r w:rsidRPr="00DE456E">
        <w:t>„Pandemie ukázala, jak moc lidé využívají sociální platformy jako výchozí bod pro vše, co dělají online – zprávy, zábavu a komunikaci</w:t>
      </w:r>
      <w:r w:rsidR="001F5BDC">
        <w:t>,</w:t>
      </w:r>
      <w:r w:rsidRPr="00DE456E">
        <w:t xml:space="preserve">“ říká Martin Šrůma, Strategy </w:t>
      </w:r>
      <w:r w:rsidRPr="00DE456E">
        <w:rPr>
          <w:lang w:val="en-US"/>
        </w:rPr>
        <w:t xml:space="preserve">&amp; Consulting </w:t>
      </w:r>
      <w:r w:rsidR="00484E56">
        <w:t>m</w:t>
      </w:r>
      <w:r w:rsidRPr="00DE456E">
        <w:t>anažer společnosti Accenture a dodává: „Čas strávený na sociálních sítích neustále roste a odráží skutečnost, jak zásadní jsou tyto platformy v našem každodenním životě. Mění způsob, jakým lidé nakupují a</w:t>
      </w:r>
      <w:r>
        <w:t> </w:t>
      </w:r>
      <w:r w:rsidRPr="00DE456E">
        <w:t>prodávají, což poskytuje nové příležitosti pro uživatelskou zkušenost a nové zdroje příjmů jak pro samotné sociální sítě, tak i další firmy.“</w:t>
      </w:r>
    </w:p>
    <w:p w14:paraId="13BED1BC" w14:textId="27D32915" w:rsidR="00DE456E" w:rsidRDefault="00DE456E" w:rsidP="00DE456E">
      <w:pPr>
        <w:spacing w:afterLines="120" w:after="288"/>
      </w:pPr>
      <w:r w:rsidRPr="00DE456E">
        <w:t>Ačkoli jde o významnou příležitost především pro velké společnosti, těžit z ní mohou i jednotlivci a</w:t>
      </w:r>
      <w:r>
        <w:t> </w:t>
      </w:r>
      <w:r w:rsidRPr="00DE456E">
        <w:t>menší značky. Více než polovina (59 %) dotázaných uvedla, že spíše podpoří malé a střední podniky právě prostřednictvím nákupu na sociálních sítích, než by nakoupili přes jejich webové stránky. Navíc je podle 63 % respondentů pravděpodobnější, že od stejného prodejce nakoupí znovu, což ukazuje na výhodnost využití sociálních sítí pro budování loajality zákazníků a podporu opakovaných nákupů.</w:t>
      </w:r>
    </w:p>
    <w:p w14:paraId="6ADBE584" w14:textId="5DE1D7EB" w:rsidR="00DE456E" w:rsidRPr="00DE456E" w:rsidRDefault="00356F88" w:rsidP="00DE456E">
      <w:pPr>
        <w:spacing w:afterLines="120" w:after="288"/>
      </w:pPr>
      <w:r>
        <w:rPr>
          <w:lang w:val="en-US"/>
        </w:rPr>
        <w:lastRenderedPageBreak/>
        <w:drawing>
          <wp:inline distT="0" distB="0" distL="0" distR="0" wp14:anchorId="1100DF75" wp14:editId="2CF569A0">
            <wp:extent cx="4413250" cy="24574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3250" cy="2457450"/>
                    </a:xfrm>
                    <a:prstGeom prst="rect">
                      <a:avLst/>
                    </a:prstGeom>
                    <a:noFill/>
                    <a:ln>
                      <a:noFill/>
                    </a:ln>
                  </pic:spPr>
                </pic:pic>
              </a:graphicData>
            </a:graphic>
          </wp:inline>
        </w:drawing>
      </w:r>
    </w:p>
    <w:p w14:paraId="1A80C475" w14:textId="1F043077" w:rsidR="00DE456E" w:rsidRPr="00DE456E" w:rsidRDefault="00DE456E" w:rsidP="00DE456E">
      <w:pPr>
        <w:spacing w:afterLines="120" w:after="288"/>
      </w:pPr>
      <w:r w:rsidRPr="00DE456E">
        <w:t>„Obchodování na sociálních sítích pomáhá posílit postavení menších značek a jednotlivců a nutí velké značky přehodnotit svou relevanci pro trh s miliony lidí,“ říká Oliver Wright, který v Accenture globálně vede divizi spotřebního zboží. „Správná realizace obchodu bude vyžadovat, aby prodejci a značky přinesli své produkty a služby přímo do prostředí, kde se spotřebitel nachází a bude nacházet – a</w:t>
      </w:r>
      <w:r>
        <w:t> </w:t>
      </w:r>
      <w:r w:rsidRPr="00DE456E">
        <w:t>nikoliv opačně. Znamená to spolupracovat v rámci dynamického ekosystému platforem, tržišť, sociálních sítí a influencerů a vzájemně sdílet nabytá data a poznatky, aby bylo možné poskytovat správné pobídky zákazníkům a nabídnout jim zároveň tu nejlepší zákaznickou zkušenost na integrovaném digitálním trhu.“</w:t>
      </w:r>
    </w:p>
    <w:p w14:paraId="58FD87F5" w14:textId="77777777" w:rsidR="00DE456E" w:rsidRPr="00DE456E" w:rsidRDefault="00DE456E" w:rsidP="00DE456E">
      <w:pPr>
        <w:pStyle w:val="Bezmezer"/>
        <w:spacing w:after="192"/>
      </w:pPr>
    </w:p>
    <w:p w14:paraId="11559879" w14:textId="77777777" w:rsidR="00DE456E" w:rsidRPr="00DE456E" w:rsidRDefault="00DE456E" w:rsidP="00DE456E">
      <w:pPr>
        <w:spacing w:afterLines="120" w:after="288"/>
        <w:rPr>
          <w:b/>
          <w:bCs/>
        </w:rPr>
      </w:pPr>
      <w:r w:rsidRPr="00DE456E">
        <w:rPr>
          <w:b/>
          <w:bCs/>
        </w:rPr>
        <w:t>Překážkou je nedůvěra</w:t>
      </w:r>
    </w:p>
    <w:p w14:paraId="1BC724F6" w14:textId="23D0A2FF" w:rsidR="00DE456E" w:rsidRPr="00DE456E" w:rsidRDefault="00DE456E" w:rsidP="00DE456E">
      <w:pPr>
        <w:spacing w:afterLines="120" w:after="288"/>
      </w:pPr>
      <w:r w:rsidRPr="00DE456E">
        <w:t>Polovina dotázaných uživatelů sociálních sítí se však obává nedostatečné ochrany spotřebitele – tedy že transakce nebudou dostatečně ochráněny, případně že nebudou moci zboží vrátit. Stejně jako v počátcích e-commerce je i v tomto případě největší překážkou širšího přijetí nedůvěra nakupujících.</w:t>
      </w:r>
    </w:p>
    <w:p w14:paraId="41E1C463" w14:textId="77777777" w:rsidR="00DE456E" w:rsidRPr="00DE456E" w:rsidRDefault="00DE456E" w:rsidP="00DE456E">
      <w:pPr>
        <w:spacing w:afterLines="120" w:after="288"/>
      </w:pPr>
      <w:r w:rsidRPr="00DE456E">
        <w:t>„Ti, kteří sociální sítě k nákupům zatím nevyužívají, uvádějí jako jeden z důvodů nedůvěru v poctivost prodejců, respektive pravost zboží. Uživatelé, kteří na sociálních sítích již nakupují, dále vidí prostor ke zlepšení v zásadách pro vrácení peněz či zboží, potažmo jeho výměnu,” uvádí Martin Šrůma. „Zvýšení důvěry zákazníků si vyžádá čas, avšak prodejci, kteří se na tyto oblasti zaměří, budou mít lepší pozici pro růst prodejů jak u stávajících, tak nových zákazníků.”</w:t>
      </w:r>
    </w:p>
    <w:p w14:paraId="0D37EDB3" w14:textId="77777777" w:rsidR="00DE456E" w:rsidRPr="00DE456E" w:rsidRDefault="00DE456E" w:rsidP="00DE456E">
      <w:pPr>
        <w:pStyle w:val="Bezmezer"/>
        <w:spacing w:after="192"/>
      </w:pPr>
    </w:p>
    <w:p w14:paraId="35A69670" w14:textId="77777777" w:rsidR="00DE456E" w:rsidRPr="00DE456E" w:rsidRDefault="00DE456E" w:rsidP="00DE456E">
      <w:pPr>
        <w:spacing w:afterLines="120" w:after="288"/>
        <w:rPr>
          <w:b/>
          <w:bCs/>
        </w:rPr>
      </w:pPr>
      <w:r w:rsidRPr="00DE456E">
        <w:rPr>
          <w:b/>
          <w:bCs/>
        </w:rPr>
        <w:t>Co se nakupuje</w:t>
      </w:r>
    </w:p>
    <w:p w14:paraId="52E6192F" w14:textId="77777777" w:rsidR="00DE456E" w:rsidRPr="00DE456E" w:rsidRDefault="00DE456E" w:rsidP="00DE456E">
      <w:pPr>
        <w:spacing w:afterLines="120" w:after="288"/>
      </w:pPr>
      <w:r w:rsidRPr="00DE456E">
        <w:t xml:space="preserve">Zpráva společnosti Accenture zjistila, že do roku 2025 se v rámci social commerce celosvětově očekává nejvyšší počet nákupů v oblasti oblečení (18 % veškerých nákupů na sociálních sítích do </w:t>
      </w:r>
      <w:r w:rsidRPr="00DE456E">
        <w:lastRenderedPageBreak/>
        <w:t xml:space="preserve">roku 2025), spotřební elektroniky (13 %) a bytových dekorací (7 %). Kosmetika a osobní péče, kterýžto segment je co do celkových prodejů na sociálních sítích spíše menší, se zase rychle prosadí v e-commerce a do roku 2025 budou tyto produkty stát v průměru za více než 40 % útraty na digitálních kanálech v dané kategorii. </w:t>
      </w:r>
    </w:p>
    <w:p w14:paraId="6060F963" w14:textId="77777777" w:rsidR="00DE456E" w:rsidRPr="00DE456E" w:rsidRDefault="00DE456E" w:rsidP="00DE456E">
      <w:pPr>
        <w:spacing w:afterLines="160" w:after="384"/>
        <w:contextualSpacing/>
      </w:pPr>
      <w:r w:rsidRPr="00DE456E">
        <w:t xml:space="preserve">Mezi další zjištění studie patří: </w:t>
      </w:r>
    </w:p>
    <w:p w14:paraId="034C3897" w14:textId="134A54F5" w:rsidR="00DE456E" w:rsidRPr="00DE456E" w:rsidRDefault="00DE456E" w:rsidP="00DE456E">
      <w:pPr>
        <w:numPr>
          <w:ilvl w:val="0"/>
          <w:numId w:val="29"/>
        </w:numPr>
        <w:spacing w:afterLines="160" w:after="384"/>
        <w:contextualSpacing/>
      </w:pPr>
      <w:r w:rsidRPr="00DE456E">
        <w:t>Sociální sítě jsou stále častěji využívány v rozvojových zemích. Až osm z deseti jejich uživatelů v Číně využívá sociální sítě i k nákupu, zatímco většina uživatelů ve Velké Británii a</w:t>
      </w:r>
      <w:r w:rsidR="001F5BDC">
        <w:t> </w:t>
      </w:r>
      <w:r w:rsidRPr="00DE456E">
        <w:t>USA ještě žádný nákup prostřednictvím těchto platforem neuskutečnila.</w:t>
      </w:r>
    </w:p>
    <w:p w14:paraId="5818BBC1" w14:textId="77777777" w:rsidR="00DE456E" w:rsidRPr="00DE456E" w:rsidRDefault="00DE456E" w:rsidP="00DE456E">
      <w:pPr>
        <w:numPr>
          <w:ilvl w:val="0"/>
          <w:numId w:val="29"/>
        </w:numPr>
        <w:spacing w:afterLines="160" w:after="384"/>
        <w:contextualSpacing/>
      </w:pPr>
      <w:r w:rsidRPr="00DE456E">
        <w:t xml:space="preserve">Nakupující v Číně, Indii a Brazílii se více zajímají o různé funkce, pomocí nichž mohou objevovat a vyhodnocovat potenciální nákupy, zatímco nakupující ve Velké Británii a USA kladou větší důraz na výši ceny a slevy. </w:t>
      </w:r>
    </w:p>
    <w:p w14:paraId="1E5DCE97" w14:textId="77777777" w:rsidR="00DE456E" w:rsidRPr="00DE456E" w:rsidRDefault="00DE456E" w:rsidP="00DE456E">
      <w:pPr>
        <w:numPr>
          <w:ilvl w:val="0"/>
          <w:numId w:val="29"/>
        </w:numPr>
        <w:spacing w:afterLines="160" w:after="384"/>
      </w:pPr>
      <w:r w:rsidRPr="00DE456E">
        <w:t xml:space="preserve">Důvěra je důležitější pro starší generace než pro mladší generace. Starší nakupující kladou důraz na bezpečnostní funkcí a oceňují známost značky, zatímco mladší generace lákají živé přenosy a více důvěřují recenzím dalších kupujících. </w:t>
      </w:r>
    </w:p>
    <w:p w14:paraId="0FCB4B74" w14:textId="29E655B1" w:rsidR="00DE456E" w:rsidRDefault="00C7157E" w:rsidP="00DE456E">
      <w:pPr>
        <w:pStyle w:val="Bezmezer"/>
        <w:spacing w:after="192"/>
      </w:pPr>
      <w:r w:rsidRPr="00C7157E">
        <w:t>Celou zprávu si můžete přečíst </w:t>
      </w:r>
      <w:hyperlink r:id="rId9" w:tgtFrame="_blank" w:history="1">
        <w:r w:rsidRPr="00C7157E">
          <w:rPr>
            <w:rStyle w:val="Hypertextovodkaz"/>
          </w:rPr>
          <w:t>zde</w:t>
        </w:r>
      </w:hyperlink>
    </w:p>
    <w:p w14:paraId="304DB1AF" w14:textId="77777777" w:rsidR="00DE456E" w:rsidRPr="00DE456E" w:rsidRDefault="00DE456E" w:rsidP="00DE456E">
      <w:pPr>
        <w:pStyle w:val="Bezmezer"/>
        <w:spacing w:after="192"/>
      </w:pPr>
    </w:p>
    <w:p w14:paraId="051A5765" w14:textId="77777777" w:rsidR="00DE456E" w:rsidRPr="00DE456E" w:rsidRDefault="00DE456E" w:rsidP="00DE456E">
      <w:pPr>
        <w:spacing w:afterLines="160" w:after="384"/>
        <w:contextualSpacing/>
        <w:rPr>
          <w:b/>
          <w:bCs/>
        </w:rPr>
      </w:pPr>
      <w:r w:rsidRPr="00DE456E">
        <w:rPr>
          <w:b/>
          <w:bCs/>
        </w:rPr>
        <w:t>O společnosti Accenture</w:t>
      </w:r>
    </w:p>
    <w:p w14:paraId="5E975E49" w14:textId="6F29471B" w:rsidR="00DE456E" w:rsidRPr="00DE456E" w:rsidRDefault="00DE456E" w:rsidP="00DE456E">
      <w:pPr>
        <w:spacing w:afterLines="160" w:after="384"/>
      </w:pPr>
      <w:r w:rsidRPr="00DE456E">
        <w:t>Accenture je globální společnost poskytující profesionální služby v oblasti digitalizace, cloudu a</w:t>
      </w:r>
      <w:r>
        <w:t> </w:t>
      </w:r>
      <w:r w:rsidRPr="00DE456E">
        <w:t>kybernetické bezpečnosti. Díky propojení zkušeností a specializovaných dovedností ve více než 40</w:t>
      </w:r>
      <w:r>
        <w:t> </w:t>
      </w:r>
      <w:r w:rsidRPr="00DE456E">
        <w:t>průmyslových odvětvích nabízíme služby v oblastech poradenství &amp; strategie, Interactive, Technology a Operations – a to díky podpoře největší celosvětové sítě Advanced Technology a</w:t>
      </w:r>
      <w:r>
        <w:t> </w:t>
      </w:r>
      <w:r w:rsidRPr="00DE456E">
        <w:t xml:space="preserve">Intelligent Operations center. Našich 674 000 zaměstnanců využívá možnosti nejnovějších technologií i lidské vynalézavosti v práci pro klienty ve více než 120 zemích. Díky síle změn vytváříme hodnoty a zvyšujeme úspěšnost našich klientů, lidí, akcionářů, partnerů i celé společnosti. Navštivte nás na </w:t>
      </w:r>
      <w:hyperlink r:id="rId10">
        <w:r w:rsidRPr="00DE456E">
          <w:rPr>
            <w:rStyle w:val="Hypertextovodkaz"/>
          </w:rPr>
          <w:t>www.accenture.com</w:t>
        </w:r>
      </w:hyperlink>
      <w:r w:rsidRPr="00DE456E">
        <w:t xml:space="preserve"> nebo </w:t>
      </w:r>
      <w:hyperlink r:id="rId11">
        <w:r w:rsidRPr="00DE456E">
          <w:rPr>
            <w:rStyle w:val="Hypertextovodkaz"/>
          </w:rPr>
          <w:t>https://www.accenture.com/cz-en/about/company/newsroom</w:t>
        </w:r>
      </w:hyperlink>
      <w:r w:rsidRPr="00DE456E">
        <w:t>.</w:t>
      </w:r>
    </w:p>
    <w:p w14:paraId="40CB3D20" w14:textId="77777777" w:rsidR="00DE456E" w:rsidRPr="00AC1B78" w:rsidRDefault="00DE456E" w:rsidP="00DE456E">
      <w:pPr>
        <w:pStyle w:val="Textkomente"/>
        <w:spacing w:after="192"/>
        <w:contextualSpacing/>
        <w:rPr>
          <w:b/>
          <w:bCs/>
        </w:rPr>
      </w:pPr>
      <w:r w:rsidRPr="00AC1B78">
        <w:rPr>
          <w:b/>
          <w:bCs/>
        </w:rPr>
        <w:t xml:space="preserve">Kontakt pro média: </w:t>
      </w:r>
      <w:r w:rsidRPr="00AC1B78">
        <w:rPr>
          <w:b/>
          <w:bCs/>
        </w:rPr>
        <w:tab/>
      </w:r>
    </w:p>
    <w:p w14:paraId="4FF4CA0B" w14:textId="77777777" w:rsidR="00DE456E" w:rsidRPr="00AC1B78" w:rsidRDefault="00DE456E" w:rsidP="00DE456E">
      <w:pPr>
        <w:pStyle w:val="Textkomente"/>
        <w:spacing w:after="192"/>
        <w:contextualSpacing/>
      </w:pPr>
      <w:r w:rsidRPr="00AC1B78">
        <w:t>Lukáš Vejnar, lukas.vejnar@accenture.com, 605 067 979</w:t>
      </w:r>
    </w:p>
    <w:p w14:paraId="7CF7E487" w14:textId="77777777" w:rsidR="00DE456E" w:rsidRPr="00AC1B78" w:rsidRDefault="00DE456E" w:rsidP="00DE456E">
      <w:pPr>
        <w:pStyle w:val="Textkomente"/>
        <w:spacing w:after="192"/>
        <w:contextualSpacing/>
      </w:pPr>
      <w:r w:rsidRPr="00AC1B78">
        <w:t>Petr Jarkovský, petr.jarkovsky@aspen.pr, 774 225 153</w:t>
      </w:r>
    </w:p>
    <w:p w14:paraId="4D071BC2" w14:textId="68F79501" w:rsidR="00DE456E" w:rsidRPr="00AC1B78" w:rsidRDefault="00DE456E" w:rsidP="00DE456E">
      <w:pPr>
        <w:pStyle w:val="Textkomente"/>
        <w:spacing w:after="192"/>
        <w:contextualSpacing/>
      </w:pPr>
      <w:r w:rsidRPr="00AC1B78">
        <w:t>Markéta Ciňková, marketa.cinkova@aspen.pr, 724 012</w:t>
      </w:r>
      <w:r>
        <w:t> </w:t>
      </w:r>
      <w:r w:rsidRPr="00AC1B78">
        <w:t>612</w:t>
      </w:r>
    </w:p>
    <w:p w14:paraId="7008F0E1" w14:textId="77777777" w:rsidR="00DE456E" w:rsidRPr="00DE456E" w:rsidRDefault="00DE456E" w:rsidP="00DE456E">
      <w:pPr>
        <w:spacing w:afterLines="160" w:after="384"/>
      </w:pPr>
    </w:p>
    <w:sectPr w:rsidR="00DE456E" w:rsidRPr="00DE456E" w:rsidSect="003006BF">
      <w:headerReference w:type="default" r:id="rId12"/>
      <w:type w:val="continuous"/>
      <w:pgSz w:w="11907" w:h="16840"/>
      <w:pgMar w:top="1701"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4B9BE" w14:textId="77777777" w:rsidR="001928B3" w:rsidRDefault="001928B3">
      <w:pPr>
        <w:spacing w:after="192"/>
        <w:rPr>
          <w:rFonts w:ascii="Times New Roman" w:hAnsi="Times New Roman"/>
        </w:rPr>
      </w:pPr>
      <w:r>
        <w:rPr>
          <w:rFonts w:ascii="Times New Roman" w:hAnsi="Times New Roman"/>
        </w:rPr>
        <w:separator/>
      </w:r>
    </w:p>
  </w:endnote>
  <w:endnote w:type="continuationSeparator" w:id="0">
    <w:p w14:paraId="2B3962DA" w14:textId="77777777" w:rsidR="001928B3" w:rsidRDefault="001928B3">
      <w:pPr>
        <w:spacing w:after="192"/>
        <w:rPr>
          <w:rFonts w:ascii="Times New Roman" w:hAnsi="Times New Roman"/>
        </w:rPr>
      </w:pPr>
      <w:r>
        <w:rPr>
          <w:rFonts w:ascii="Times New Roman" w:hAnsi="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DFC6D" w14:textId="77777777" w:rsidR="001928B3" w:rsidRDefault="001928B3">
      <w:pPr>
        <w:spacing w:after="192"/>
        <w:rPr>
          <w:rFonts w:ascii="Times New Roman" w:hAnsi="Times New Roman"/>
        </w:rPr>
      </w:pPr>
      <w:r>
        <w:rPr>
          <w:rFonts w:ascii="Times New Roman" w:hAnsi="Times New Roman"/>
        </w:rPr>
        <w:separator/>
      </w:r>
    </w:p>
  </w:footnote>
  <w:footnote w:type="continuationSeparator" w:id="0">
    <w:p w14:paraId="14CDE36E" w14:textId="77777777" w:rsidR="001928B3" w:rsidRDefault="001928B3">
      <w:pPr>
        <w:spacing w:after="192"/>
        <w:rPr>
          <w:rFonts w:ascii="Times New Roman" w:hAnsi="Times New Roman"/>
        </w:rPr>
      </w:pPr>
      <w:r>
        <w:rPr>
          <w:rFonts w:ascii="Times New Roman" w:hAnsi="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43" w:type="dxa"/>
      <w:tblBorders>
        <w:top w:val="dotted" w:sz="4" w:space="0" w:color="FFFFFF"/>
        <w:left w:val="dotted" w:sz="4" w:space="0" w:color="FFFFFF"/>
        <w:bottom w:val="dotted" w:sz="4" w:space="0" w:color="FFFFFF"/>
        <w:right w:val="dotted" w:sz="4" w:space="0" w:color="FFFFFF"/>
        <w:insideV w:val="dotted" w:sz="4" w:space="0" w:color="FFFFFF"/>
      </w:tblBorders>
      <w:tblLayout w:type="fixed"/>
      <w:tblLook w:val="0000" w:firstRow="0" w:lastRow="0" w:firstColumn="0" w:lastColumn="0" w:noHBand="0" w:noVBand="0"/>
    </w:tblPr>
    <w:tblGrid>
      <w:gridCol w:w="5973"/>
      <w:gridCol w:w="4870"/>
    </w:tblGrid>
    <w:tr w:rsidR="002132CC" w14:paraId="5C057FF7" w14:textId="77777777" w:rsidTr="00DF79C4">
      <w:trPr>
        <w:trHeight w:val="1979"/>
      </w:trPr>
      <w:tc>
        <w:tcPr>
          <w:tcW w:w="5973" w:type="dxa"/>
        </w:tcPr>
        <w:p w14:paraId="144A462F" w14:textId="21A07BC5" w:rsidR="002132CC" w:rsidRDefault="00356F88">
          <w:pPr>
            <w:pStyle w:val="Zhlav"/>
            <w:spacing w:before="60" w:after="192"/>
            <w:rPr>
              <w:rFonts w:ascii="Times New Roman" w:hAnsi="Times New Roman"/>
            </w:rPr>
          </w:pPr>
          <w:r>
            <w:drawing>
              <wp:anchor distT="0" distB="0" distL="114300" distR="114300" simplePos="0" relativeHeight="251657728" behindDoc="1" locked="0" layoutInCell="1" allowOverlap="1" wp14:anchorId="4E6ECCB9" wp14:editId="10517FCC">
                <wp:simplePos x="0" y="0"/>
                <wp:positionH relativeFrom="column">
                  <wp:posOffset>-2463165</wp:posOffset>
                </wp:positionH>
                <wp:positionV relativeFrom="paragraph">
                  <wp:posOffset>635</wp:posOffset>
                </wp:positionV>
                <wp:extent cx="2187575" cy="1038225"/>
                <wp:effectExtent l="0" t="0" r="0" b="0"/>
                <wp:wrapTight wrapText="bothSides">
                  <wp:wrapPolygon edited="0">
                    <wp:start x="0" y="396"/>
                    <wp:lineTo x="0" y="21402"/>
                    <wp:lineTo x="21443" y="21402"/>
                    <wp:lineTo x="21443" y="396"/>
                    <wp:lineTo x="0" y="396"/>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t="-6863"/>
                        <a:stretch>
                          <a:fillRect/>
                        </a:stretch>
                      </pic:blipFill>
                      <pic:spPr bwMode="auto">
                        <a:xfrm>
                          <a:off x="0" y="0"/>
                          <a:ext cx="2187575" cy="1038225"/>
                        </a:xfrm>
                        <a:prstGeom prst="rect">
                          <a:avLst/>
                        </a:prstGeom>
                        <a:noFill/>
                      </pic:spPr>
                    </pic:pic>
                  </a:graphicData>
                </a:graphic>
                <wp14:sizeRelH relativeFrom="page">
                  <wp14:pctWidth>0</wp14:pctWidth>
                </wp14:sizeRelH>
                <wp14:sizeRelV relativeFrom="page">
                  <wp14:pctHeight>0</wp14:pctHeight>
                </wp14:sizeRelV>
              </wp:anchor>
            </w:drawing>
          </w:r>
        </w:p>
      </w:tc>
      <w:tc>
        <w:tcPr>
          <w:tcW w:w="4870" w:type="dxa"/>
        </w:tcPr>
        <w:p w14:paraId="007322AA" w14:textId="77777777" w:rsidR="002132CC" w:rsidRPr="000663DE" w:rsidRDefault="002132CC" w:rsidP="000663DE">
          <w:pPr>
            <w:spacing w:after="192"/>
          </w:pPr>
        </w:p>
      </w:tc>
    </w:tr>
  </w:tbl>
  <w:p w14:paraId="5A0B0703" w14:textId="77777777" w:rsidR="002132CC" w:rsidRDefault="002132CC">
    <w:pPr>
      <w:pStyle w:val="Zhlav"/>
      <w:spacing w:after="192"/>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128AB"/>
    <w:multiLevelType w:val="singleLevel"/>
    <w:tmpl w:val="08090005"/>
    <w:lvl w:ilvl="0">
      <w:start w:val="1"/>
      <w:numFmt w:val="bullet"/>
      <w:lvlText w:val=""/>
      <w:lvlJc w:val="left"/>
      <w:pPr>
        <w:tabs>
          <w:tab w:val="num" w:pos="360"/>
        </w:tabs>
        <w:ind w:left="360" w:hanging="360"/>
      </w:pPr>
      <w:rPr>
        <w:rFonts w:ascii="Wingdings" w:hAnsi="Wingdings" w:cs="Times New Roman" w:hint="default"/>
      </w:rPr>
    </w:lvl>
  </w:abstractNum>
  <w:abstractNum w:abstractNumId="1" w15:restartNumberingAfterBreak="0">
    <w:nsid w:val="0B5C7C89"/>
    <w:multiLevelType w:val="hybridMultilevel"/>
    <w:tmpl w:val="D6AC098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0C8F081D"/>
    <w:multiLevelType w:val="hybridMultilevel"/>
    <w:tmpl w:val="79B45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9437FF"/>
    <w:multiLevelType w:val="hybridMultilevel"/>
    <w:tmpl w:val="0DD2990E"/>
    <w:lvl w:ilvl="0" w:tplc="FB7C63CC">
      <w:start w:val="5"/>
      <w:numFmt w:val="bullet"/>
      <w:lvlText w:val=""/>
      <w:lvlJc w:val="left"/>
      <w:pPr>
        <w:ind w:left="720" w:hanging="360"/>
      </w:pPr>
      <w:rPr>
        <w:rFonts w:ascii="Symbol" w:eastAsia="Times New Roman"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4" w15:restartNumberingAfterBreak="0">
    <w:nsid w:val="0D9C5ADB"/>
    <w:multiLevelType w:val="hybridMultilevel"/>
    <w:tmpl w:val="315E28EA"/>
    <w:lvl w:ilvl="0" w:tplc="04050001">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5" w15:restartNumberingAfterBreak="0">
    <w:nsid w:val="165901E4"/>
    <w:multiLevelType w:val="hybridMultilevel"/>
    <w:tmpl w:val="21762D4C"/>
    <w:lvl w:ilvl="0" w:tplc="04090001">
      <w:start w:val="1"/>
      <w:numFmt w:val="bullet"/>
      <w:lvlText w:val=""/>
      <w:lvlJc w:val="left"/>
      <w:pPr>
        <w:ind w:left="1080" w:hanging="360"/>
      </w:pPr>
      <w:rPr>
        <w:rFonts w:ascii="Symbol"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Times New Roman" w:hint="default"/>
      </w:rPr>
    </w:lvl>
    <w:lvl w:ilvl="3" w:tplc="04090001">
      <w:start w:val="1"/>
      <w:numFmt w:val="bullet"/>
      <w:lvlText w:val=""/>
      <w:lvlJc w:val="left"/>
      <w:pPr>
        <w:ind w:left="3240" w:hanging="360"/>
      </w:pPr>
      <w:rPr>
        <w:rFonts w:ascii="Symbol" w:hAnsi="Symbol" w:cs="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Times New Roman" w:hint="default"/>
      </w:rPr>
    </w:lvl>
    <w:lvl w:ilvl="6" w:tplc="04090001">
      <w:start w:val="1"/>
      <w:numFmt w:val="bullet"/>
      <w:lvlText w:val=""/>
      <w:lvlJc w:val="left"/>
      <w:pPr>
        <w:ind w:left="5400" w:hanging="360"/>
      </w:pPr>
      <w:rPr>
        <w:rFonts w:ascii="Symbol" w:hAnsi="Symbol" w:cs="Times New Roman"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Times New Roman" w:hint="default"/>
      </w:rPr>
    </w:lvl>
  </w:abstractNum>
  <w:abstractNum w:abstractNumId="6" w15:restartNumberingAfterBreak="0">
    <w:nsid w:val="1C202BBE"/>
    <w:multiLevelType w:val="hybridMultilevel"/>
    <w:tmpl w:val="86143E16"/>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7" w15:restartNumberingAfterBreak="0">
    <w:nsid w:val="29EE5719"/>
    <w:multiLevelType w:val="hybridMultilevel"/>
    <w:tmpl w:val="3266E120"/>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8" w15:restartNumberingAfterBreak="0">
    <w:nsid w:val="31C3335C"/>
    <w:multiLevelType w:val="hybridMultilevel"/>
    <w:tmpl w:val="C6482AFA"/>
    <w:lvl w:ilvl="0" w:tplc="B65C9F1E">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3447F91"/>
    <w:multiLevelType w:val="hybridMultilevel"/>
    <w:tmpl w:val="6E4CC458"/>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0" w15:restartNumberingAfterBreak="0">
    <w:nsid w:val="36715195"/>
    <w:multiLevelType w:val="hybridMultilevel"/>
    <w:tmpl w:val="0E1E11D6"/>
    <w:lvl w:ilvl="0" w:tplc="04090001">
      <w:start w:val="1"/>
      <w:numFmt w:val="bullet"/>
      <w:lvlText w:val=""/>
      <w:lvlJc w:val="left"/>
      <w:pPr>
        <w:ind w:left="360" w:hanging="360"/>
      </w:pPr>
      <w:rPr>
        <w:rFonts w:ascii="Symbol"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Times New Roman" w:hint="default"/>
      </w:rPr>
    </w:lvl>
    <w:lvl w:ilvl="3" w:tplc="04090001">
      <w:start w:val="1"/>
      <w:numFmt w:val="bullet"/>
      <w:lvlText w:val=""/>
      <w:lvlJc w:val="left"/>
      <w:pPr>
        <w:ind w:left="2520" w:hanging="360"/>
      </w:pPr>
      <w:rPr>
        <w:rFonts w:ascii="Symbol" w:hAnsi="Symbol" w:cs="Times New Roman"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Times New Roman" w:hint="default"/>
      </w:rPr>
    </w:lvl>
    <w:lvl w:ilvl="6" w:tplc="04090001">
      <w:start w:val="1"/>
      <w:numFmt w:val="bullet"/>
      <w:lvlText w:val=""/>
      <w:lvlJc w:val="left"/>
      <w:pPr>
        <w:ind w:left="4680" w:hanging="360"/>
      </w:pPr>
      <w:rPr>
        <w:rFonts w:ascii="Symbol" w:hAnsi="Symbol" w:cs="Times New Roman"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Times New Roman" w:hint="default"/>
      </w:rPr>
    </w:lvl>
  </w:abstractNum>
  <w:abstractNum w:abstractNumId="11" w15:restartNumberingAfterBreak="0">
    <w:nsid w:val="373235F5"/>
    <w:multiLevelType w:val="hybridMultilevel"/>
    <w:tmpl w:val="7A3E3818"/>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2" w15:restartNumberingAfterBreak="0">
    <w:nsid w:val="426F4EC9"/>
    <w:multiLevelType w:val="hybridMultilevel"/>
    <w:tmpl w:val="A1DAAB3E"/>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2DF29D8"/>
    <w:multiLevelType w:val="hybridMultilevel"/>
    <w:tmpl w:val="14045964"/>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4" w15:restartNumberingAfterBreak="0">
    <w:nsid w:val="487579BC"/>
    <w:multiLevelType w:val="hybridMultilevel"/>
    <w:tmpl w:val="5B82F634"/>
    <w:lvl w:ilvl="0" w:tplc="E31679F6">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C87794E"/>
    <w:multiLevelType w:val="hybridMultilevel"/>
    <w:tmpl w:val="CD3C2D64"/>
    <w:lvl w:ilvl="0" w:tplc="04090001">
      <w:start w:val="1"/>
      <w:numFmt w:val="bullet"/>
      <w:lvlText w:val=""/>
      <w:lvlJc w:val="left"/>
      <w:pPr>
        <w:ind w:left="1080" w:hanging="360"/>
      </w:pPr>
      <w:rPr>
        <w:rFonts w:ascii="Symbol" w:hAnsi="Symbol" w:cs="Times New Roman"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16" w15:restartNumberingAfterBreak="0">
    <w:nsid w:val="63673F3B"/>
    <w:multiLevelType w:val="hybridMultilevel"/>
    <w:tmpl w:val="0AF6C7FE"/>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7" w15:restartNumberingAfterBreak="0">
    <w:nsid w:val="6439383B"/>
    <w:multiLevelType w:val="hybridMultilevel"/>
    <w:tmpl w:val="CEEE00A8"/>
    <w:lvl w:ilvl="0" w:tplc="04050001">
      <w:start w:val="1"/>
      <w:numFmt w:val="bullet"/>
      <w:lvlText w:val=""/>
      <w:lvlJc w:val="left"/>
      <w:pPr>
        <w:ind w:left="144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8" w15:restartNumberingAfterBreak="0">
    <w:nsid w:val="68C52C16"/>
    <w:multiLevelType w:val="hybridMultilevel"/>
    <w:tmpl w:val="A9189602"/>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1778"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9" w15:restartNumberingAfterBreak="0">
    <w:nsid w:val="6ADB27CB"/>
    <w:multiLevelType w:val="hybridMultilevel"/>
    <w:tmpl w:val="9D541656"/>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20" w15:restartNumberingAfterBreak="0">
    <w:nsid w:val="6D9F4862"/>
    <w:multiLevelType w:val="hybridMultilevel"/>
    <w:tmpl w:val="21482852"/>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0BB114E"/>
    <w:multiLevelType w:val="hybridMultilevel"/>
    <w:tmpl w:val="9E9C467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2" w15:restartNumberingAfterBreak="0">
    <w:nsid w:val="72A14917"/>
    <w:multiLevelType w:val="hybridMultilevel"/>
    <w:tmpl w:val="8E70FA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3" w15:restartNumberingAfterBreak="0">
    <w:nsid w:val="769C1B8C"/>
    <w:multiLevelType w:val="hybridMultilevel"/>
    <w:tmpl w:val="7FEE45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7734846"/>
    <w:multiLevelType w:val="hybridMultilevel"/>
    <w:tmpl w:val="BEF07810"/>
    <w:lvl w:ilvl="0" w:tplc="DFB60D2C">
      <w:numFmt w:val="bullet"/>
      <w:lvlText w:val="-"/>
      <w:lvlJc w:val="left"/>
      <w:pPr>
        <w:ind w:left="420" w:hanging="360"/>
      </w:pPr>
      <w:rPr>
        <w:rFonts w:ascii="Arial" w:eastAsia="Times New Roman"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5" w15:restartNumberingAfterBreak="0">
    <w:nsid w:val="7A2541D3"/>
    <w:multiLevelType w:val="multilevel"/>
    <w:tmpl w:val="DC46F602"/>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abstractNum w:abstractNumId="26" w15:restartNumberingAfterBreak="0">
    <w:nsid w:val="7BC51731"/>
    <w:multiLevelType w:val="hybridMultilevel"/>
    <w:tmpl w:val="D1EAA5C0"/>
    <w:lvl w:ilvl="0" w:tplc="041B0001">
      <w:start w:val="1"/>
      <w:numFmt w:val="bullet"/>
      <w:lvlText w:val=""/>
      <w:lvlJc w:val="left"/>
      <w:pPr>
        <w:ind w:left="765" w:hanging="360"/>
      </w:pPr>
      <w:rPr>
        <w:rFonts w:ascii="Symbol" w:hAnsi="Symbol"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7" w15:restartNumberingAfterBreak="0">
    <w:nsid w:val="7E792F41"/>
    <w:multiLevelType w:val="hybridMultilevel"/>
    <w:tmpl w:val="EC506BE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8" w15:restartNumberingAfterBreak="0">
    <w:nsid w:val="7EAB47C8"/>
    <w:multiLevelType w:val="hybridMultilevel"/>
    <w:tmpl w:val="F238E12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11"/>
  </w:num>
  <w:num w:numId="4">
    <w:abstractNumId w:val="25"/>
  </w:num>
  <w:num w:numId="5">
    <w:abstractNumId w:val="27"/>
  </w:num>
  <w:num w:numId="6">
    <w:abstractNumId w:val="15"/>
  </w:num>
  <w:num w:numId="7">
    <w:abstractNumId w:val="21"/>
  </w:num>
  <w:num w:numId="8">
    <w:abstractNumId w:val="3"/>
  </w:num>
  <w:num w:numId="9">
    <w:abstractNumId w:val="7"/>
  </w:num>
  <w:num w:numId="10">
    <w:abstractNumId w:val="9"/>
  </w:num>
  <w:num w:numId="11">
    <w:abstractNumId w:val="16"/>
  </w:num>
  <w:num w:numId="12">
    <w:abstractNumId w:val="4"/>
  </w:num>
  <w:num w:numId="13">
    <w:abstractNumId w:val="13"/>
  </w:num>
  <w:num w:numId="14">
    <w:abstractNumId w:val="19"/>
  </w:num>
  <w:num w:numId="15">
    <w:abstractNumId w:val="12"/>
  </w:num>
  <w:num w:numId="16">
    <w:abstractNumId w:val="20"/>
  </w:num>
  <w:num w:numId="17">
    <w:abstractNumId w:val="28"/>
  </w:num>
  <w:num w:numId="18">
    <w:abstractNumId w:val="22"/>
  </w:num>
  <w:num w:numId="19">
    <w:abstractNumId w:val="10"/>
  </w:num>
  <w:num w:numId="20">
    <w:abstractNumId w:val="5"/>
  </w:num>
  <w:num w:numId="21">
    <w:abstractNumId w:val="24"/>
  </w:num>
  <w:num w:numId="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23"/>
  </w:num>
  <w:num w:numId="27">
    <w:abstractNumId w:val="14"/>
  </w:num>
  <w:num w:numId="28">
    <w:abstractNumId w:val="8"/>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425"/>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56E"/>
    <w:rsid w:val="00005A52"/>
    <w:rsid w:val="0001016D"/>
    <w:rsid w:val="000119F8"/>
    <w:rsid w:val="000122DE"/>
    <w:rsid w:val="00026482"/>
    <w:rsid w:val="00034A97"/>
    <w:rsid w:val="00034DB3"/>
    <w:rsid w:val="000375AA"/>
    <w:rsid w:val="0004309F"/>
    <w:rsid w:val="0005224D"/>
    <w:rsid w:val="000527AC"/>
    <w:rsid w:val="00061C08"/>
    <w:rsid w:val="000663DE"/>
    <w:rsid w:val="00066556"/>
    <w:rsid w:val="0006690C"/>
    <w:rsid w:val="000708F2"/>
    <w:rsid w:val="00070907"/>
    <w:rsid w:val="00073E74"/>
    <w:rsid w:val="0007787D"/>
    <w:rsid w:val="000821E4"/>
    <w:rsid w:val="000846E5"/>
    <w:rsid w:val="00092DFC"/>
    <w:rsid w:val="00092F45"/>
    <w:rsid w:val="000A05A5"/>
    <w:rsid w:val="000A6A03"/>
    <w:rsid w:val="000B475C"/>
    <w:rsid w:val="000C501B"/>
    <w:rsid w:val="000D1D63"/>
    <w:rsid w:val="000D3AC2"/>
    <w:rsid w:val="000E3AD3"/>
    <w:rsid w:val="000E3F65"/>
    <w:rsid w:val="000F3931"/>
    <w:rsid w:val="000F7D6A"/>
    <w:rsid w:val="00100DCD"/>
    <w:rsid w:val="00107B0D"/>
    <w:rsid w:val="00125401"/>
    <w:rsid w:val="00125943"/>
    <w:rsid w:val="00125AEE"/>
    <w:rsid w:val="001463BF"/>
    <w:rsid w:val="0014684C"/>
    <w:rsid w:val="001549CA"/>
    <w:rsid w:val="00174639"/>
    <w:rsid w:val="001803EE"/>
    <w:rsid w:val="00182675"/>
    <w:rsid w:val="00185E7C"/>
    <w:rsid w:val="001868DD"/>
    <w:rsid w:val="00186DB7"/>
    <w:rsid w:val="001915BE"/>
    <w:rsid w:val="001928B3"/>
    <w:rsid w:val="001A061E"/>
    <w:rsid w:val="001B7A37"/>
    <w:rsid w:val="001C1C98"/>
    <w:rsid w:val="001C2741"/>
    <w:rsid w:val="001C41BE"/>
    <w:rsid w:val="001D7D32"/>
    <w:rsid w:val="001E0846"/>
    <w:rsid w:val="001E1A53"/>
    <w:rsid w:val="001E4305"/>
    <w:rsid w:val="001F0038"/>
    <w:rsid w:val="001F30F1"/>
    <w:rsid w:val="001F5441"/>
    <w:rsid w:val="001F5BDC"/>
    <w:rsid w:val="00210AFE"/>
    <w:rsid w:val="00210B93"/>
    <w:rsid w:val="00212994"/>
    <w:rsid w:val="002132CC"/>
    <w:rsid w:val="00223E1A"/>
    <w:rsid w:val="00224586"/>
    <w:rsid w:val="00231C89"/>
    <w:rsid w:val="00234D4D"/>
    <w:rsid w:val="0024187D"/>
    <w:rsid w:val="002759A0"/>
    <w:rsid w:val="002875E9"/>
    <w:rsid w:val="002A2892"/>
    <w:rsid w:val="002A2F3E"/>
    <w:rsid w:val="002B05E0"/>
    <w:rsid w:val="002B562E"/>
    <w:rsid w:val="002B750B"/>
    <w:rsid w:val="002C0038"/>
    <w:rsid w:val="002C67CC"/>
    <w:rsid w:val="002D122C"/>
    <w:rsid w:val="002E3B38"/>
    <w:rsid w:val="002F3064"/>
    <w:rsid w:val="002F468B"/>
    <w:rsid w:val="002F72C2"/>
    <w:rsid w:val="003006BF"/>
    <w:rsid w:val="003029A1"/>
    <w:rsid w:val="00310085"/>
    <w:rsid w:val="003108FE"/>
    <w:rsid w:val="00313724"/>
    <w:rsid w:val="00314ECB"/>
    <w:rsid w:val="0031614D"/>
    <w:rsid w:val="00316355"/>
    <w:rsid w:val="003166C8"/>
    <w:rsid w:val="00327977"/>
    <w:rsid w:val="003310F4"/>
    <w:rsid w:val="0034134C"/>
    <w:rsid w:val="0034259A"/>
    <w:rsid w:val="0034282F"/>
    <w:rsid w:val="00343AB3"/>
    <w:rsid w:val="003519C9"/>
    <w:rsid w:val="00356F88"/>
    <w:rsid w:val="003651F5"/>
    <w:rsid w:val="003804FD"/>
    <w:rsid w:val="00382303"/>
    <w:rsid w:val="00382DA7"/>
    <w:rsid w:val="003932D0"/>
    <w:rsid w:val="003958FD"/>
    <w:rsid w:val="003A4094"/>
    <w:rsid w:val="003B5DB7"/>
    <w:rsid w:val="003B78DA"/>
    <w:rsid w:val="003C1F9B"/>
    <w:rsid w:val="003C4A8A"/>
    <w:rsid w:val="003D19ED"/>
    <w:rsid w:val="003D4AE2"/>
    <w:rsid w:val="003E3ECB"/>
    <w:rsid w:val="003E49DC"/>
    <w:rsid w:val="003F14A7"/>
    <w:rsid w:val="003F6640"/>
    <w:rsid w:val="00410E19"/>
    <w:rsid w:val="0041445E"/>
    <w:rsid w:val="00415B38"/>
    <w:rsid w:val="004212F7"/>
    <w:rsid w:val="004245A2"/>
    <w:rsid w:val="00433E7D"/>
    <w:rsid w:val="00440F40"/>
    <w:rsid w:val="00442272"/>
    <w:rsid w:val="0044248F"/>
    <w:rsid w:val="00450DF8"/>
    <w:rsid w:val="00451765"/>
    <w:rsid w:val="00461978"/>
    <w:rsid w:val="00463E3F"/>
    <w:rsid w:val="00464C2F"/>
    <w:rsid w:val="00474BB9"/>
    <w:rsid w:val="00484E56"/>
    <w:rsid w:val="0048653B"/>
    <w:rsid w:val="00494934"/>
    <w:rsid w:val="004A182B"/>
    <w:rsid w:val="004A3316"/>
    <w:rsid w:val="004B32A8"/>
    <w:rsid w:val="004B7512"/>
    <w:rsid w:val="004C2B93"/>
    <w:rsid w:val="004C7BDF"/>
    <w:rsid w:val="004C7E02"/>
    <w:rsid w:val="004D0C87"/>
    <w:rsid w:val="004D32DB"/>
    <w:rsid w:val="004D59C5"/>
    <w:rsid w:val="0050096E"/>
    <w:rsid w:val="005048FC"/>
    <w:rsid w:val="005157C3"/>
    <w:rsid w:val="0051648E"/>
    <w:rsid w:val="00517F75"/>
    <w:rsid w:val="00525E1D"/>
    <w:rsid w:val="0053282A"/>
    <w:rsid w:val="0053301D"/>
    <w:rsid w:val="0053678C"/>
    <w:rsid w:val="005400D6"/>
    <w:rsid w:val="0054204E"/>
    <w:rsid w:val="005463D0"/>
    <w:rsid w:val="00566664"/>
    <w:rsid w:val="00571D4A"/>
    <w:rsid w:val="00577840"/>
    <w:rsid w:val="00580DDA"/>
    <w:rsid w:val="00581AC4"/>
    <w:rsid w:val="005823D5"/>
    <w:rsid w:val="0059263D"/>
    <w:rsid w:val="005B4EDE"/>
    <w:rsid w:val="005B6153"/>
    <w:rsid w:val="005B676E"/>
    <w:rsid w:val="005B7052"/>
    <w:rsid w:val="005B735B"/>
    <w:rsid w:val="005C1E8F"/>
    <w:rsid w:val="005C36C0"/>
    <w:rsid w:val="005C41D9"/>
    <w:rsid w:val="005D0C03"/>
    <w:rsid w:val="005D2C8C"/>
    <w:rsid w:val="005D392B"/>
    <w:rsid w:val="005F44C8"/>
    <w:rsid w:val="0060368E"/>
    <w:rsid w:val="0060696E"/>
    <w:rsid w:val="00612A5C"/>
    <w:rsid w:val="00613425"/>
    <w:rsid w:val="00616E37"/>
    <w:rsid w:val="00633490"/>
    <w:rsid w:val="00640955"/>
    <w:rsid w:val="006500D7"/>
    <w:rsid w:val="00651CD6"/>
    <w:rsid w:val="00655342"/>
    <w:rsid w:val="00660900"/>
    <w:rsid w:val="00661103"/>
    <w:rsid w:val="00662A0F"/>
    <w:rsid w:val="00666AF1"/>
    <w:rsid w:val="00667751"/>
    <w:rsid w:val="00672CDB"/>
    <w:rsid w:val="00674553"/>
    <w:rsid w:val="00681E6B"/>
    <w:rsid w:val="006839BB"/>
    <w:rsid w:val="00697FC6"/>
    <w:rsid w:val="006A4D8E"/>
    <w:rsid w:val="006B2D54"/>
    <w:rsid w:val="006C3FF5"/>
    <w:rsid w:val="006D5A48"/>
    <w:rsid w:val="006E016B"/>
    <w:rsid w:val="006F5A47"/>
    <w:rsid w:val="0070216E"/>
    <w:rsid w:val="00703A3E"/>
    <w:rsid w:val="00713EFE"/>
    <w:rsid w:val="00720F46"/>
    <w:rsid w:val="00733672"/>
    <w:rsid w:val="00735825"/>
    <w:rsid w:val="00753340"/>
    <w:rsid w:val="007559FD"/>
    <w:rsid w:val="007660CC"/>
    <w:rsid w:val="00776D8D"/>
    <w:rsid w:val="00777E73"/>
    <w:rsid w:val="0078187E"/>
    <w:rsid w:val="00782104"/>
    <w:rsid w:val="007847DF"/>
    <w:rsid w:val="00787C24"/>
    <w:rsid w:val="0079136B"/>
    <w:rsid w:val="0079153C"/>
    <w:rsid w:val="007A4AFF"/>
    <w:rsid w:val="007A590A"/>
    <w:rsid w:val="007B3C66"/>
    <w:rsid w:val="007B7C38"/>
    <w:rsid w:val="007C0D0D"/>
    <w:rsid w:val="007D08D1"/>
    <w:rsid w:val="007D4188"/>
    <w:rsid w:val="007D4FAF"/>
    <w:rsid w:val="007E0077"/>
    <w:rsid w:val="007E25B9"/>
    <w:rsid w:val="007F419B"/>
    <w:rsid w:val="007F5F45"/>
    <w:rsid w:val="007F6515"/>
    <w:rsid w:val="00801E50"/>
    <w:rsid w:val="008020A7"/>
    <w:rsid w:val="00810E14"/>
    <w:rsid w:val="00817D7A"/>
    <w:rsid w:val="008442AF"/>
    <w:rsid w:val="00844D44"/>
    <w:rsid w:val="008457D0"/>
    <w:rsid w:val="00846865"/>
    <w:rsid w:val="00847987"/>
    <w:rsid w:val="00854BFC"/>
    <w:rsid w:val="008564D7"/>
    <w:rsid w:val="00865EC3"/>
    <w:rsid w:val="008665FF"/>
    <w:rsid w:val="0087244F"/>
    <w:rsid w:val="00876AC6"/>
    <w:rsid w:val="0088517B"/>
    <w:rsid w:val="0088633E"/>
    <w:rsid w:val="008922A1"/>
    <w:rsid w:val="008B64FA"/>
    <w:rsid w:val="008C34B3"/>
    <w:rsid w:val="008C398E"/>
    <w:rsid w:val="008C3B28"/>
    <w:rsid w:val="008D0B84"/>
    <w:rsid w:val="008D12FA"/>
    <w:rsid w:val="008D461D"/>
    <w:rsid w:val="008E1EA2"/>
    <w:rsid w:val="008E4B4C"/>
    <w:rsid w:val="008E61FD"/>
    <w:rsid w:val="008F3660"/>
    <w:rsid w:val="0090115E"/>
    <w:rsid w:val="0090612B"/>
    <w:rsid w:val="00917549"/>
    <w:rsid w:val="0092188C"/>
    <w:rsid w:val="00925253"/>
    <w:rsid w:val="00942A1F"/>
    <w:rsid w:val="009433AE"/>
    <w:rsid w:val="00962A17"/>
    <w:rsid w:val="00984B5E"/>
    <w:rsid w:val="009853AF"/>
    <w:rsid w:val="0098607C"/>
    <w:rsid w:val="00992C20"/>
    <w:rsid w:val="00992F2A"/>
    <w:rsid w:val="0099792E"/>
    <w:rsid w:val="009B2629"/>
    <w:rsid w:val="009C0BB4"/>
    <w:rsid w:val="009C3377"/>
    <w:rsid w:val="009D62C4"/>
    <w:rsid w:val="009E7511"/>
    <w:rsid w:val="00A126B8"/>
    <w:rsid w:val="00A156DA"/>
    <w:rsid w:val="00A16BDB"/>
    <w:rsid w:val="00A26E92"/>
    <w:rsid w:val="00A324B9"/>
    <w:rsid w:val="00A40D6C"/>
    <w:rsid w:val="00A42DC3"/>
    <w:rsid w:val="00A500AF"/>
    <w:rsid w:val="00A5296F"/>
    <w:rsid w:val="00A67F1E"/>
    <w:rsid w:val="00A72EF6"/>
    <w:rsid w:val="00A77F31"/>
    <w:rsid w:val="00A81931"/>
    <w:rsid w:val="00AA3F5A"/>
    <w:rsid w:val="00AB787A"/>
    <w:rsid w:val="00AC014F"/>
    <w:rsid w:val="00AC2772"/>
    <w:rsid w:val="00AC5D48"/>
    <w:rsid w:val="00AD26A1"/>
    <w:rsid w:val="00AE3569"/>
    <w:rsid w:val="00AE56BF"/>
    <w:rsid w:val="00AE5B9B"/>
    <w:rsid w:val="00AF5768"/>
    <w:rsid w:val="00AF6DFA"/>
    <w:rsid w:val="00B034D1"/>
    <w:rsid w:val="00B156D9"/>
    <w:rsid w:val="00B16B80"/>
    <w:rsid w:val="00B220C4"/>
    <w:rsid w:val="00B24D4A"/>
    <w:rsid w:val="00B254C3"/>
    <w:rsid w:val="00B26524"/>
    <w:rsid w:val="00B3064F"/>
    <w:rsid w:val="00B30F2A"/>
    <w:rsid w:val="00B327C2"/>
    <w:rsid w:val="00B33559"/>
    <w:rsid w:val="00B35830"/>
    <w:rsid w:val="00B3702C"/>
    <w:rsid w:val="00B454F4"/>
    <w:rsid w:val="00B5268D"/>
    <w:rsid w:val="00B55D2C"/>
    <w:rsid w:val="00B61B66"/>
    <w:rsid w:val="00B6279B"/>
    <w:rsid w:val="00B635F5"/>
    <w:rsid w:val="00B64E24"/>
    <w:rsid w:val="00B66465"/>
    <w:rsid w:val="00B67253"/>
    <w:rsid w:val="00B8300B"/>
    <w:rsid w:val="00B83B8B"/>
    <w:rsid w:val="00B86B7C"/>
    <w:rsid w:val="00B950E9"/>
    <w:rsid w:val="00B97EE2"/>
    <w:rsid w:val="00BA09C0"/>
    <w:rsid w:val="00BA736B"/>
    <w:rsid w:val="00BA7F99"/>
    <w:rsid w:val="00BC4303"/>
    <w:rsid w:val="00BD733C"/>
    <w:rsid w:val="00BE1514"/>
    <w:rsid w:val="00BE45E8"/>
    <w:rsid w:val="00BE5C40"/>
    <w:rsid w:val="00BE736C"/>
    <w:rsid w:val="00BF0D15"/>
    <w:rsid w:val="00BF601A"/>
    <w:rsid w:val="00C06C21"/>
    <w:rsid w:val="00C2195A"/>
    <w:rsid w:val="00C23C1A"/>
    <w:rsid w:val="00C2439B"/>
    <w:rsid w:val="00C3042F"/>
    <w:rsid w:val="00C31A52"/>
    <w:rsid w:val="00C33173"/>
    <w:rsid w:val="00C3508F"/>
    <w:rsid w:val="00C35658"/>
    <w:rsid w:val="00C41C41"/>
    <w:rsid w:val="00C42F7B"/>
    <w:rsid w:val="00C53CB4"/>
    <w:rsid w:val="00C66B21"/>
    <w:rsid w:val="00C7157E"/>
    <w:rsid w:val="00C75407"/>
    <w:rsid w:val="00C92F1B"/>
    <w:rsid w:val="00C95CE1"/>
    <w:rsid w:val="00CD22C0"/>
    <w:rsid w:val="00CF0D19"/>
    <w:rsid w:val="00CF39A6"/>
    <w:rsid w:val="00D04F98"/>
    <w:rsid w:val="00D12BB8"/>
    <w:rsid w:val="00D14097"/>
    <w:rsid w:val="00D14EFE"/>
    <w:rsid w:val="00D16390"/>
    <w:rsid w:val="00D20C8E"/>
    <w:rsid w:val="00D20D75"/>
    <w:rsid w:val="00D212BE"/>
    <w:rsid w:val="00D21A9E"/>
    <w:rsid w:val="00D23060"/>
    <w:rsid w:val="00D26B4A"/>
    <w:rsid w:val="00D309D6"/>
    <w:rsid w:val="00D33F68"/>
    <w:rsid w:val="00D41588"/>
    <w:rsid w:val="00D44611"/>
    <w:rsid w:val="00D66599"/>
    <w:rsid w:val="00D728F5"/>
    <w:rsid w:val="00D8609A"/>
    <w:rsid w:val="00D9262C"/>
    <w:rsid w:val="00D972CF"/>
    <w:rsid w:val="00DA4099"/>
    <w:rsid w:val="00DA43F0"/>
    <w:rsid w:val="00DB4591"/>
    <w:rsid w:val="00DB4FCA"/>
    <w:rsid w:val="00DC2EC6"/>
    <w:rsid w:val="00DC783D"/>
    <w:rsid w:val="00DD0DE2"/>
    <w:rsid w:val="00DE0E19"/>
    <w:rsid w:val="00DE184B"/>
    <w:rsid w:val="00DE456E"/>
    <w:rsid w:val="00DE7ED9"/>
    <w:rsid w:val="00DF1791"/>
    <w:rsid w:val="00DF2792"/>
    <w:rsid w:val="00DF2D45"/>
    <w:rsid w:val="00DF44B3"/>
    <w:rsid w:val="00DF79C4"/>
    <w:rsid w:val="00E01D5C"/>
    <w:rsid w:val="00E054D4"/>
    <w:rsid w:val="00E423B9"/>
    <w:rsid w:val="00E46C6E"/>
    <w:rsid w:val="00E54FF3"/>
    <w:rsid w:val="00E56E1A"/>
    <w:rsid w:val="00E6730B"/>
    <w:rsid w:val="00E74AF4"/>
    <w:rsid w:val="00E7675B"/>
    <w:rsid w:val="00E83541"/>
    <w:rsid w:val="00E876C2"/>
    <w:rsid w:val="00EA4089"/>
    <w:rsid w:val="00EB4491"/>
    <w:rsid w:val="00EB5320"/>
    <w:rsid w:val="00EB7946"/>
    <w:rsid w:val="00EC0787"/>
    <w:rsid w:val="00ED4253"/>
    <w:rsid w:val="00EE5E52"/>
    <w:rsid w:val="00EF673D"/>
    <w:rsid w:val="00EF75C4"/>
    <w:rsid w:val="00F1157B"/>
    <w:rsid w:val="00F1466E"/>
    <w:rsid w:val="00F328B5"/>
    <w:rsid w:val="00F3502B"/>
    <w:rsid w:val="00F35891"/>
    <w:rsid w:val="00F4033F"/>
    <w:rsid w:val="00F415D6"/>
    <w:rsid w:val="00F564B7"/>
    <w:rsid w:val="00F61CF7"/>
    <w:rsid w:val="00F75E8B"/>
    <w:rsid w:val="00F8175D"/>
    <w:rsid w:val="00F81F5C"/>
    <w:rsid w:val="00F83032"/>
    <w:rsid w:val="00F85570"/>
    <w:rsid w:val="00FA2A77"/>
    <w:rsid w:val="00FB20A1"/>
    <w:rsid w:val="00FB3DE8"/>
    <w:rsid w:val="00FC206B"/>
    <w:rsid w:val="00FC588F"/>
    <w:rsid w:val="00FC799E"/>
    <w:rsid w:val="00FE21DA"/>
    <w:rsid w:val="00FF2D97"/>
    <w:rsid w:val="00FF3930"/>
    <w:rsid w:val="00FF512A"/>
    <w:rsid w:val="00FF54C5"/>
    <w:rsid w:val="00FF65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3AA5E"/>
  <w15:chartTrackingRefBased/>
  <w15:docId w15:val="{DB96F602-DB1D-4F7A-AA79-15FAF739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1E50"/>
    <w:pPr>
      <w:spacing w:afterLines="80" w:after="80" w:line="300" w:lineRule="auto"/>
      <w:jc w:val="both"/>
    </w:pPr>
    <w:rPr>
      <w:rFonts w:ascii="Arial" w:hAnsi="Arial" w:cs="Arial"/>
      <w:noProof/>
      <w:snapToGrid w:val="0"/>
      <w:lang w:eastAsia="en-US"/>
    </w:rPr>
  </w:style>
  <w:style w:type="paragraph" w:styleId="Nadpis1">
    <w:name w:val="heading 1"/>
    <w:basedOn w:val="Normln"/>
    <w:next w:val="Normln"/>
    <w:qFormat/>
    <w:pPr>
      <w:keepNext/>
      <w:spacing w:before="240" w:after="60"/>
      <w:outlineLvl w:val="0"/>
    </w:pPr>
    <w:rPr>
      <w:b/>
      <w:bCs/>
      <w:kern w:val="28"/>
      <w:sz w:val="28"/>
      <w:szCs w:val="28"/>
      <w:lang w:val="sk-SK"/>
    </w:rPr>
  </w:style>
  <w:style w:type="paragraph" w:styleId="Nadpis2">
    <w:name w:val="heading 2"/>
    <w:basedOn w:val="Normln"/>
    <w:next w:val="Normln"/>
    <w:qFormat/>
    <w:pPr>
      <w:keepNext/>
      <w:outlineLvl w:val="1"/>
    </w:pPr>
    <w:rPr>
      <w:b/>
      <w:bCs/>
    </w:rPr>
  </w:style>
  <w:style w:type="paragraph" w:styleId="Nadpis3">
    <w:name w:val="heading 3"/>
    <w:basedOn w:val="Normln"/>
    <w:next w:val="Normln"/>
    <w:qFormat/>
    <w:pPr>
      <w:keepNext/>
      <w:spacing w:line="240" w:lineRule="atLeast"/>
      <w:outlineLvl w:val="2"/>
    </w:pPr>
    <w:rPr>
      <w:b/>
      <w:bCs/>
      <w:color w:val="000000"/>
      <w:lang w:val="en-GB"/>
    </w:rPr>
  </w:style>
  <w:style w:type="paragraph" w:styleId="Nadpis4">
    <w:name w:val="heading 4"/>
    <w:basedOn w:val="Normln"/>
    <w:next w:val="Normln"/>
    <w:qFormat/>
    <w:pPr>
      <w:keepNext/>
      <w:outlineLvl w:val="3"/>
    </w:pPr>
    <w:rPr>
      <w:b/>
      <w:bCs/>
      <w:sz w:val="24"/>
      <w:szCs w:val="24"/>
      <w:lang w:val="en-GB"/>
    </w:rPr>
  </w:style>
  <w:style w:type="paragraph" w:styleId="Nadpis5">
    <w:name w:val="heading 5"/>
    <w:basedOn w:val="Normln"/>
    <w:next w:val="Normln"/>
    <w:qFormat/>
    <w:pPr>
      <w:keepNext/>
      <w:outlineLvl w:val="4"/>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semiHidden/>
    <w:pPr>
      <w:tabs>
        <w:tab w:val="center" w:pos="4153"/>
        <w:tab w:val="right" w:pos="8306"/>
      </w:tabs>
    </w:pPr>
  </w:style>
  <w:style w:type="paragraph" w:styleId="Zpat">
    <w:name w:val="footer"/>
    <w:basedOn w:val="Normln"/>
    <w:semiHidden/>
    <w:pPr>
      <w:tabs>
        <w:tab w:val="center" w:pos="4153"/>
        <w:tab w:val="right" w:pos="8306"/>
      </w:tabs>
    </w:pPr>
  </w:style>
  <w:style w:type="paragraph" w:customStyle="1" w:styleId="ABLOCKPARA">
    <w:name w:val="A BLOCK PARA"/>
    <w:basedOn w:val="Normln"/>
    <w:rPr>
      <w:lang w:val="sk-SK"/>
    </w:rPr>
  </w:style>
  <w:style w:type="character" w:styleId="Hypertextovodkaz">
    <w:name w:val="Hyperlink"/>
    <w:uiPriority w:val="99"/>
    <w:rPr>
      <w:color w:val="0000FF"/>
      <w:u w:val="single"/>
    </w:rPr>
  </w:style>
  <w:style w:type="paragraph" w:styleId="Zkladntext">
    <w:name w:val="Body Text"/>
    <w:basedOn w:val="Normln"/>
    <w:semiHidden/>
    <w:rPr>
      <w:lang w:val="sk-SK"/>
    </w:rPr>
  </w:style>
  <w:style w:type="paragraph" w:customStyle="1" w:styleId="FormtovanvHTML1">
    <w:name w:val="Formátovaný v HTML1"/>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imes New Roman" w:hAnsi="Times New Roman"/>
    </w:rPr>
  </w:style>
  <w:style w:type="paragraph" w:styleId="Zkladntextodsazen">
    <w:name w:val="Body Text Indent"/>
    <w:basedOn w:val="Normln"/>
    <w:semiHidden/>
    <w:rPr>
      <w:rFonts w:ascii="Times New Roman" w:hAnsi="Times New Roman"/>
      <w:sz w:val="24"/>
      <w:szCs w:val="24"/>
    </w:rPr>
  </w:style>
  <w:style w:type="character" w:customStyle="1" w:styleId="bod1">
    <w:name w:val="bod1"/>
    <w:rPr>
      <w:rFonts w:ascii="Arial" w:hAnsi="Arial" w:cs="Arial"/>
      <w:sz w:val="18"/>
      <w:szCs w:val="18"/>
    </w:rPr>
  </w:style>
  <w:style w:type="paragraph" w:styleId="Normlnweb">
    <w:name w:val="Normal (Web)"/>
    <w:basedOn w:val="Normln"/>
    <w:semiHidden/>
    <w:pPr>
      <w:spacing w:before="100" w:beforeAutospacing="1" w:after="100" w:afterAutospacing="1"/>
    </w:pPr>
    <w:rPr>
      <w:sz w:val="18"/>
      <w:szCs w:val="18"/>
      <w:lang w:val="en-GB"/>
    </w:rPr>
  </w:style>
  <w:style w:type="character" w:styleId="Siln">
    <w:name w:val="Strong"/>
    <w:uiPriority w:val="22"/>
    <w:qFormat/>
    <w:rPr>
      <w:b/>
      <w:bCs/>
    </w:rPr>
  </w:style>
  <w:style w:type="paragraph" w:customStyle="1" w:styleId="Textbubliny1">
    <w:name w:val="Text bubliny1"/>
    <w:basedOn w:val="Normln"/>
    <w:rPr>
      <w:rFonts w:ascii="Times New Roman" w:hAnsi="Times New Roman"/>
      <w:sz w:val="16"/>
      <w:szCs w:val="16"/>
    </w:rPr>
  </w:style>
  <w:style w:type="character" w:styleId="Odkaznakoment">
    <w:name w:val="annotation reference"/>
    <w:semiHidden/>
    <w:rPr>
      <w:sz w:val="16"/>
      <w:szCs w:val="16"/>
    </w:rPr>
  </w:style>
  <w:style w:type="paragraph" w:styleId="Textkomente">
    <w:name w:val="annotation text"/>
    <w:basedOn w:val="Normln"/>
    <w:link w:val="TextkomenteChar"/>
    <w:uiPriority w:val="99"/>
  </w:style>
  <w:style w:type="paragraph" w:customStyle="1" w:styleId="Pedmtkomente1">
    <w:name w:val="Předmět komentáře1"/>
    <w:basedOn w:val="Textkomente"/>
    <w:next w:val="Textkomente"/>
    <w:rPr>
      <w:b/>
      <w:bCs/>
    </w:rPr>
  </w:style>
  <w:style w:type="paragraph" w:styleId="Prosttext">
    <w:name w:val="Plain Text"/>
    <w:basedOn w:val="Normln"/>
    <w:semiHidden/>
    <w:rPr>
      <w:rFonts w:ascii="Courier New" w:hAnsi="Courier New" w:cs="Courier New"/>
    </w:rPr>
  </w:style>
  <w:style w:type="character" w:styleId="Sledovanodkaz">
    <w:name w:val="FollowedHyperlink"/>
    <w:semiHidden/>
    <w:rPr>
      <w:color w:val="800080"/>
      <w:u w:val="single"/>
    </w:rPr>
  </w:style>
  <w:style w:type="paragraph" w:customStyle="1" w:styleId="Odstavecseseznamem1">
    <w:name w:val="Odstavec se seznamem1"/>
    <w:basedOn w:val="Normln"/>
    <w:pPr>
      <w:spacing w:after="200" w:line="276" w:lineRule="auto"/>
      <w:ind w:left="720"/>
    </w:pPr>
    <w:rPr>
      <w:rFonts w:ascii="Calibri" w:hAnsi="Calibri"/>
    </w:rPr>
  </w:style>
  <w:style w:type="paragraph" w:customStyle="1" w:styleId="COVNormal">
    <w:name w:val="COV_Normal"/>
    <w:basedOn w:val="Normln"/>
    <w:pPr>
      <w:spacing w:before="120" w:after="120"/>
      <w:ind w:left="2279"/>
    </w:pPr>
  </w:style>
  <w:style w:type="paragraph" w:customStyle="1" w:styleId="default">
    <w:name w:val="default"/>
    <w:basedOn w:val="Normln"/>
    <w:pPr>
      <w:autoSpaceDE w:val="0"/>
      <w:autoSpaceDN w:val="0"/>
    </w:pPr>
    <w:rPr>
      <w:rFonts w:ascii="Times New Roman" w:hAnsi="Times New Roman"/>
      <w:color w:val="000000"/>
      <w:sz w:val="24"/>
      <w:szCs w:val="24"/>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Textbubliny">
    <w:name w:val="Balloon Text"/>
    <w:basedOn w:val="Normln"/>
    <w:link w:val="TextbublinyChar"/>
    <w:uiPriority w:val="99"/>
    <w:semiHidden/>
    <w:unhideWhenUsed/>
    <w:rsid w:val="00E56E1A"/>
    <w:rPr>
      <w:rFonts w:ascii="Tahoma" w:hAnsi="Tahoma" w:cs="Tahoma"/>
      <w:sz w:val="16"/>
      <w:szCs w:val="16"/>
    </w:rPr>
  </w:style>
  <w:style w:type="character" w:customStyle="1" w:styleId="TextbublinyChar">
    <w:name w:val="Text bubliny Char"/>
    <w:link w:val="Textbubliny"/>
    <w:uiPriority w:val="99"/>
    <w:semiHidden/>
    <w:rsid w:val="00E56E1A"/>
    <w:rPr>
      <w:rFonts w:ascii="Tahoma" w:hAnsi="Tahoma" w:cs="Tahoma"/>
      <w:snapToGrid w:val="0"/>
      <w:sz w:val="16"/>
      <w:szCs w:val="16"/>
      <w:lang w:val="en-US" w:eastAsia="en-US"/>
    </w:rPr>
  </w:style>
  <w:style w:type="paragraph" w:styleId="Pedmtkomente">
    <w:name w:val="annotation subject"/>
    <w:basedOn w:val="Textkomente"/>
    <w:next w:val="Textkomente"/>
    <w:link w:val="PedmtkomenteChar"/>
    <w:uiPriority w:val="99"/>
    <w:semiHidden/>
    <w:unhideWhenUsed/>
    <w:rsid w:val="00440F40"/>
    <w:rPr>
      <w:b/>
      <w:bCs/>
    </w:rPr>
  </w:style>
  <w:style w:type="character" w:customStyle="1" w:styleId="TextkomenteChar">
    <w:name w:val="Text komentáře Char"/>
    <w:link w:val="Textkomente"/>
    <w:uiPriority w:val="99"/>
    <w:rsid w:val="00440F40"/>
    <w:rPr>
      <w:rFonts w:ascii="Book Antiqua" w:hAnsi="Book Antiqua"/>
      <w:snapToGrid w:val="0"/>
      <w:lang w:val="en-US" w:eastAsia="en-US"/>
    </w:rPr>
  </w:style>
  <w:style w:type="character" w:customStyle="1" w:styleId="PedmtkomenteChar">
    <w:name w:val="Předmět komentáře Char"/>
    <w:link w:val="Pedmtkomente"/>
    <w:rsid w:val="00440F40"/>
    <w:rPr>
      <w:rFonts w:ascii="Book Antiqua" w:hAnsi="Book Antiqua"/>
      <w:snapToGrid w:val="0"/>
      <w:lang w:val="en-US" w:eastAsia="en-US"/>
    </w:rPr>
  </w:style>
  <w:style w:type="paragraph" w:styleId="Odstavecseseznamem">
    <w:name w:val="List Paragraph"/>
    <w:basedOn w:val="Normln"/>
    <w:uiPriority w:val="34"/>
    <w:qFormat/>
    <w:rsid w:val="00B83B8B"/>
    <w:pPr>
      <w:ind w:left="720"/>
      <w:contextualSpacing/>
    </w:pPr>
  </w:style>
  <w:style w:type="paragraph" w:styleId="Revize">
    <w:name w:val="Revision"/>
    <w:hidden/>
    <w:uiPriority w:val="99"/>
    <w:semiHidden/>
    <w:rsid w:val="007660CC"/>
    <w:rPr>
      <w:rFonts w:ascii="Book Antiqua" w:hAnsi="Book Antiqua"/>
      <w:snapToGrid w:val="0"/>
      <w:sz w:val="22"/>
      <w:szCs w:val="22"/>
      <w:lang w:val="en-US" w:eastAsia="en-US"/>
    </w:rPr>
  </w:style>
  <w:style w:type="paragraph" w:styleId="Textpoznpodarou">
    <w:name w:val="footnote text"/>
    <w:basedOn w:val="Normln"/>
    <w:link w:val="TextpoznpodarouChar"/>
    <w:uiPriority w:val="99"/>
    <w:unhideWhenUsed/>
    <w:rsid w:val="00034DB3"/>
    <w:rPr>
      <w:rFonts w:ascii="Calibri" w:eastAsia="Calibri" w:hAnsi="Calibri"/>
      <w:snapToGrid/>
      <w:lang w:eastAsia="en-GB"/>
    </w:rPr>
  </w:style>
  <w:style w:type="character" w:customStyle="1" w:styleId="TextpoznpodarouChar">
    <w:name w:val="Text pozn. pod čarou Char"/>
    <w:link w:val="Textpoznpodarou"/>
    <w:uiPriority w:val="99"/>
    <w:rsid w:val="00034DB3"/>
    <w:rPr>
      <w:rFonts w:ascii="Calibri" w:eastAsia="Calibri" w:hAnsi="Calibri"/>
      <w:lang w:val="en-US" w:eastAsia="en-GB"/>
    </w:rPr>
  </w:style>
  <w:style w:type="character" w:styleId="Znakapoznpodarou">
    <w:name w:val="footnote reference"/>
    <w:uiPriority w:val="99"/>
    <w:semiHidden/>
    <w:unhideWhenUsed/>
    <w:rsid w:val="00034DB3"/>
    <w:rPr>
      <w:vertAlign w:val="superscript"/>
    </w:rPr>
  </w:style>
  <w:style w:type="character" w:customStyle="1" w:styleId="ZhlavChar">
    <w:name w:val="Záhlaví Char"/>
    <w:link w:val="Zhlav"/>
    <w:semiHidden/>
    <w:rsid w:val="003006BF"/>
    <w:rPr>
      <w:rFonts w:ascii="Book Antiqua" w:hAnsi="Book Antiqua"/>
      <w:snapToGrid w:val="0"/>
      <w:sz w:val="22"/>
      <w:szCs w:val="22"/>
      <w:lang w:val="en-US" w:eastAsia="en-US"/>
    </w:rPr>
  </w:style>
  <w:style w:type="paragraph" w:styleId="Bezmezer">
    <w:name w:val="No Spacing"/>
    <w:uiPriority w:val="1"/>
    <w:qFormat/>
    <w:rsid w:val="0098607C"/>
    <w:pPr>
      <w:spacing w:afterLines="80"/>
      <w:jc w:val="both"/>
    </w:pPr>
    <w:rPr>
      <w:rFonts w:ascii="Arial" w:hAnsi="Arial" w:cs="Arial"/>
      <w:noProof/>
      <w:snapToGrid w:val="0"/>
      <w:lang w:eastAsia="en-US"/>
    </w:rPr>
  </w:style>
  <w:style w:type="character" w:styleId="Nevyeenzmnka">
    <w:name w:val="Unresolved Mention"/>
    <w:uiPriority w:val="99"/>
    <w:semiHidden/>
    <w:unhideWhenUsed/>
    <w:rsid w:val="00DE45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21796">
      <w:bodyDiv w:val="1"/>
      <w:marLeft w:val="0"/>
      <w:marRight w:val="0"/>
      <w:marTop w:val="0"/>
      <w:marBottom w:val="0"/>
      <w:divBdr>
        <w:top w:val="none" w:sz="0" w:space="0" w:color="auto"/>
        <w:left w:val="none" w:sz="0" w:space="0" w:color="auto"/>
        <w:bottom w:val="none" w:sz="0" w:space="0" w:color="auto"/>
        <w:right w:val="none" w:sz="0" w:space="0" w:color="auto"/>
      </w:divBdr>
    </w:div>
    <w:div w:id="176776745">
      <w:bodyDiv w:val="1"/>
      <w:marLeft w:val="0"/>
      <w:marRight w:val="0"/>
      <w:marTop w:val="0"/>
      <w:marBottom w:val="0"/>
      <w:divBdr>
        <w:top w:val="none" w:sz="0" w:space="0" w:color="auto"/>
        <w:left w:val="none" w:sz="0" w:space="0" w:color="auto"/>
        <w:bottom w:val="none" w:sz="0" w:space="0" w:color="auto"/>
        <w:right w:val="none" w:sz="0" w:space="0" w:color="auto"/>
      </w:divBdr>
    </w:div>
    <w:div w:id="309946754">
      <w:bodyDiv w:val="1"/>
      <w:marLeft w:val="0"/>
      <w:marRight w:val="0"/>
      <w:marTop w:val="0"/>
      <w:marBottom w:val="0"/>
      <w:divBdr>
        <w:top w:val="none" w:sz="0" w:space="0" w:color="auto"/>
        <w:left w:val="none" w:sz="0" w:space="0" w:color="auto"/>
        <w:bottom w:val="none" w:sz="0" w:space="0" w:color="auto"/>
        <w:right w:val="none" w:sz="0" w:space="0" w:color="auto"/>
      </w:divBdr>
    </w:div>
    <w:div w:id="447745254">
      <w:bodyDiv w:val="1"/>
      <w:marLeft w:val="0"/>
      <w:marRight w:val="0"/>
      <w:marTop w:val="0"/>
      <w:marBottom w:val="0"/>
      <w:divBdr>
        <w:top w:val="none" w:sz="0" w:space="0" w:color="auto"/>
        <w:left w:val="none" w:sz="0" w:space="0" w:color="auto"/>
        <w:bottom w:val="none" w:sz="0" w:space="0" w:color="auto"/>
        <w:right w:val="none" w:sz="0" w:space="0" w:color="auto"/>
      </w:divBdr>
      <w:divsChild>
        <w:div w:id="277756739">
          <w:marLeft w:val="0"/>
          <w:marRight w:val="0"/>
          <w:marTop w:val="0"/>
          <w:marBottom w:val="0"/>
          <w:divBdr>
            <w:top w:val="none" w:sz="0" w:space="0" w:color="auto"/>
            <w:left w:val="none" w:sz="0" w:space="0" w:color="auto"/>
            <w:bottom w:val="none" w:sz="0" w:space="0" w:color="auto"/>
            <w:right w:val="none" w:sz="0" w:space="0" w:color="auto"/>
          </w:divBdr>
        </w:div>
        <w:div w:id="1323392250">
          <w:marLeft w:val="0"/>
          <w:marRight w:val="0"/>
          <w:marTop w:val="0"/>
          <w:marBottom w:val="0"/>
          <w:divBdr>
            <w:top w:val="none" w:sz="0" w:space="0" w:color="auto"/>
            <w:left w:val="none" w:sz="0" w:space="0" w:color="auto"/>
            <w:bottom w:val="none" w:sz="0" w:space="0" w:color="auto"/>
            <w:right w:val="none" w:sz="0" w:space="0" w:color="auto"/>
          </w:divBdr>
        </w:div>
      </w:divsChild>
    </w:div>
    <w:div w:id="706759425">
      <w:bodyDiv w:val="1"/>
      <w:marLeft w:val="0"/>
      <w:marRight w:val="0"/>
      <w:marTop w:val="0"/>
      <w:marBottom w:val="0"/>
      <w:divBdr>
        <w:top w:val="none" w:sz="0" w:space="0" w:color="auto"/>
        <w:left w:val="none" w:sz="0" w:space="0" w:color="auto"/>
        <w:bottom w:val="none" w:sz="0" w:space="0" w:color="auto"/>
        <w:right w:val="none" w:sz="0" w:space="0" w:color="auto"/>
      </w:divBdr>
    </w:div>
    <w:div w:id="833421389">
      <w:bodyDiv w:val="1"/>
      <w:marLeft w:val="0"/>
      <w:marRight w:val="0"/>
      <w:marTop w:val="0"/>
      <w:marBottom w:val="0"/>
      <w:divBdr>
        <w:top w:val="none" w:sz="0" w:space="0" w:color="auto"/>
        <w:left w:val="none" w:sz="0" w:space="0" w:color="auto"/>
        <w:bottom w:val="none" w:sz="0" w:space="0" w:color="auto"/>
        <w:right w:val="none" w:sz="0" w:space="0" w:color="auto"/>
      </w:divBdr>
    </w:div>
    <w:div w:id="1090392271">
      <w:bodyDiv w:val="1"/>
      <w:marLeft w:val="0"/>
      <w:marRight w:val="0"/>
      <w:marTop w:val="0"/>
      <w:marBottom w:val="0"/>
      <w:divBdr>
        <w:top w:val="none" w:sz="0" w:space="0" w:color="auto"/>
        <w:left w:val="none" w:sz="0" w:space="0" w:color="auto"/>
        <w:bottom w:val="none" w:sz="0" w:space="0" w:color="auto"/>
        <w:right w:val="none" w:sz="0" w:space="0" w:color="auto"/>
      </w:divBdr>
    </w:div>
    <w:div w:id="1094210410">
      <w:bodyDiv w:val="1"/>
      <w:marLeft w:val="0"/>
      <w:marRight w:val="0"/>
      <w:marTop w:val="0"/>
      <w:marBottom w:val="0"/>
      <w:divBdr>
        <w:top w:val="none" w:sz="0" w:space="0" w:color="auto"/>
        <w:left w:val="none" w:sz="0" w:space="0" w:color="auto"/>
        <w:bottom w:val="none" w:sz="0" w:space="0" w:color="auto"/>
        <w:right w:val="none" w:sz="0" w:space="0" w:color="auto"/>
      </w:divBdr>
    </w:div>
    <w:div w:id="1182552692">
      <w:bodyDiv w:val="1"/>
      <w:marLeft w:val="0"/>
      <w:marRight w:val="0"/>
      <w:marTop w:val="0"/>
      <w:marBottom w:val="0"/>
      <w:divBdr>
        <w:top w:val="none" w:sz="0" w:space="0" w:color="auto"/>
        <w:left w:val="none" w:sz="0" w:space="0" w:color="auto"/>
        <w:bottom w:val="none" w:sz="0" w:space="0" w:color="auto"/>
        <w:right w:val="none" w:sz="0" w:space="0" w:color="auto"/>
      </w:divBdr>
    </w:div>
    <w:div w:id="1355424898">
      <w:bodyDiv w:val="1"/>
      <w:marLeft w:val="0"/>
      <w:marRight w:val="0"/>
      <w:marTop w:val="0"/>
      <w:marBottom w:val="0"/>
      <w:divBdr>
        <w:top w:val="none" w:sz="0" w:space="0" w:color="auto"/>
        <w:left w:val="none" w:sz="0" w:space="0" w:color="auto"/>
        <w:bottom w:val="none" w:sz="0" w:space="0" w:color="auto"/>
        <w:right w:val="none" w:sz="0" w:space="0" w:color="auto"/>
      </w:divBdr>
    </w:div>
    <w:div w:id="1366097961">
      <w:bodyDiv w:val="1"/>
      <w:marLeft w:val="0"/>
      <w:marRight w:val="0"/>
      <w:marTop w:val="0"/>
      <w:marBottom w:val="0"/>
      <w:divBdr>
        <w:top w:val="none" w:sz="0" w:space="0" w:color="auto"/>
        <w:left w:val="none" w:sz="0" w:space="0" w:color="auto"/>
        <w:bottom w:val="none" w:sz="0" w:space="0" w:color="auto"/>
        <w:right w:val="none" w:sz="0" w:space="0" w:color="auto"/>
      </w:divBdr>
    </w:div>
    <w:div w:id="1430541474">
      <w:bodyDiv w:val="1"/>
      <w:marLeft w:val="0"/>
      <w:marRight w:val="0"/>
      <w:marTop w:val="0"/>
      <w:marBottom w:val="0"/>
      <w:divBdr>
        <w:top w:val="none" w:sz="0" w:space="0" w:color="auto"/>
        <w:left w:val="none" w:sz="0" w:space="0" w:color="auto"/>
        <w:bottom w:val="none" w:sz="0" w:space="0" w:color="auto"/>
        <w:right w:val="none" w:sz="0" w:space="0" w:color="auto"/>
      </w:divBdr>
    </w:div>
    <w:div w:id="1599605840">
      <w:bodyDiv w:val="1"/>
      <w:marLeft w:val="0"/>
      <w:marRight w:val="0"/>
      <w:marTop w:val="0"/>
      <w:marBottom w:val="0"/>
      <w:divBdr>
        <w:top w:val="none" w:sz="0" w:space="0" w:color="auto"/>
        <w:left w:val="none" w:sz="0" w:space="0" w:color="auto"/>
        <w:bottom w:val="none" w:sz="0" w:space="0" w:color="auto"/>
        <w:right w:val="none" w:sz="0" w:space="0" w:color="auto"/>
      </w:divBdr>
    </w:div>
    <w:div w:id="1629123575">
      <w:bodyDiv w:val="1"/>
      <w:marLeft w:val="0"/>
      <w:marRight w:val="0"/>
      <w:marTop w:val="0"/>
      <w:marBottom w:val="0"/>
      <w:divBdr>
        <w:top w:val="none" w:sz="0" w:space="0" w:color="auto"/>
        <w:left w:val="none" w:sz="0" w:space="0" w:color="auto"/>
        <w:bottom w:val="none" w:sz="0" w:space="0" w:color="auto"/>
        <w:right w:val="none" w:sz="0" w:space="0" w:color="auto"/>
      </w:divBdr>
    </w:div>
    <w:div w:id="1775055075">
      <w:bodyDiv w:val="1"/>
      <w:marLeft w:val="0"/>
      <w:marRight w:val="0"/>
      <w:marTop w:val="0"/>
      <w:marBottom w:val="0"/>
      <w:divBdr>
        <w:top w:val="none" w:sz="0" w:space="0" w:color="auto"/>
        <w:left w:val="none" w:sz="0" w:space="0" w:color="auto"/>
        <w:bottom w:val="none" w:sz="0" w:space="0" w:color="auto"/>
        <w:right w:val="none" w:sz="0" w:space="0" w:color="auto"/>
      </w:divBdr>
    </w:div>
    <w:div w:id="1840777748">
      <w:bodyDiv w:val="1"/>
      <w:marLeft w:val="0"/>
      <w:marRight w:val="0"/>
      <w:marTop w:val="0"/>
      <w:marBottom w:val="0"/>
      <w:divBdr>
        <w:top w:val="none" w:sz="0" w:space="0" w:color="auto"/>
        <w:left w:val="none" w:sz="0" w:space="0" w:color="auto"/>
        <w:bottom w:val="none" w:sz="0" w:space="0" w:color="auto"/>
        <w:right w:val="none" w:sz="0" w:space="0" w:color="auto"/>
      </w:divBdr>
    </w:div>
    <w:div w:id="1866364334">
      <w:bodyDiv w:val="1"/>
      <w:marLeft w:val="0"/>
      <w:marRight w:val="0"/>
      <w:marTop w:val="0"/>
      <w:marBottom w:val="0"/>
      <w:divBdr>
        <w:top w:val="none" w:sz="0" w:space="0" w:color="auto"/>
        <w:left w:val="none" w:sz="0" w:space="0" w:color="auto"/>
        <w:bottom w:val="none" w:sz="0" w:space="0" w:color="auto"/>
        <w:right w:val="none" w:sz="0" w:space="0" w:color="auto"/>
      </w:divBdr>
      <w:divsChild>
        <w:div w:id="1605380147">
          <w:marLeft w:val="0"/>
          <w:marRight w:val="0"/>
          <w:marTop w:val="90"/>
          <w:marBottom w:val="75"/>
          <w:divBdr>
            <w:top w:val="dashed" w:sz="6" w:space="5" w:color="B2B2B2"/>
            <w:left w:val="none" w:sz="0" w:space="0" w:color="auto"/>
            <w:bottom w:val="none" w:sz="0" w:space="0" w:color="auto"/>
            <w:right w:val="none" w:sz="0" w:space="0" w:color="auto"/>
          </w:divBdr>
          <w:divsChild>
            <w:div w:id="1593514665">
              <w:marLeft w:val="0"/>
              <w:marRight w:val="0"/>
              <w:marTop w:val="0"/>
              <w:marBottom w:val="75"/>
              <w:divBdr>
                <w:top w:val="none" w:sz="0" w:space="0" w:color="auto"/>
                <w:left w:val="none" w:sz="0" w:space="0" w:color="auto"/>
                <w:bottom w:val="none" w:sz="0" w:space="0" w:color="auto"/>
                <w:right w:val="none" w:sz="0" w:space="0" w:color="auto"/>
              </w:divBdr>
            </w:div>
          </w:divsChild>
        </w:div>
        <w:div w:id="1820463532">
          <w:marLeft w:val="0"/>
          <w:marRight w:val="0"/>
          <w:marTop w:val="90"/>
          <w:marBottom w:val="75"/>
          <w:divBdr>
            <w:top w:val="none" w:sz="0" w:space="0" w:color="auto"/>
            <w:left w:val="none" w:sz="0" w:space="0" w:color="auto"/>
            <w:bottom w:val="none" w:sz="0" w:space="0" w:color="auto"/>
            <w:right w:val="none" w:sz="0" w:space="0" w:color="auto"/>
          </w:divBdr>
        </w:div>
        <w:div w:id="2098403369">
          <w:marLeft w:val="0"/>
          <w:marRight w:val="0"/>
          <w:marTop w:val="0"/>
          <w:marBottom w:val="0"/>
          <w:divBdr>
            <w:top w:val="none" w:sz="0" w:space="0" w:color="auto"/>
            <w:left w:val="none" w:sz="0" w:space="0" w:color="auto"/>
            <w:bottom w:val="none" w:sz="0" w:space="0" w:color="auto"/>
            <w:right w:val="none" w:sz="0" w:space="0" w:color="auto"/>
          </w:divBdr>
        </w:div>
      </w:divsChild>
    </w:div>
    <w:div w:id="1876114055">
      <w:bodyDiv w:val="1"/>
      <w:marLeft w:val="0"/>
      <w:marRight w:val="0"/>
      <w:marTop w:val="0"/>
      <w:marBottom w:val="0"/>
      <w:divBdr>
        <w:top w:val="none" w:sz="0" w:space="0" w:color="auto"/>
        <w:left w:val="none" w:sz="0" w:space="0" w:color="auto"/>
        <w:bottom w:val="none" w:sz="0" w:space="0" w:color="auto"/>
        <w:right w:val="none" w:sz="0" w:space="0" w:color="auto"/>
      </w:divBdr>
    </w:div>
    <w:div w:id="195097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enture.com/cz-en/about/company/newsroom" TargetMode="External"/><Relationship Id="rId5" Type="http://schemas.openxmlformats.org/officeDocument/2006/relationships/webSettings" Target="webSettings.xml"/><Relationship Id="rId10" Type="http://schemas.openxmlformats.org/officeDocument/2006/relationships/hyperlink" Target="http://www.accenture.com" TargetMode="External"/><Relationship Id="rId4" Type="http://schemas.openxmlformats.org/officeDocument/2006/relationships/settings" Target="settings.xml"/><Relationship Id="rId9" Type="http://schemas.openxmlformats.org/officeDocument/2006/relationships/hyperlink" Target="https://www.accenture.com/us-en/insights/software-platforms/why-shopping-set-social-revolution?c=acn_glb_socialcommercebusinesswire_12755585&amp;n=mrl_01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Accenture_4_2021.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8D3A6-2019-4BCE-84AF-81A8D639A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Accenture_4_2021</Template>
  <TotalTime>2</TotalTime>
  <Pages>3</Pages>
  <Words>892</Words>
  <Characters>5266</Characters>
  <Application>Microsoft Office Word</Application>
  <DocSecurity>0</DocSecurity>
  <Lines>43</Lines>
  <Paragraphs>12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Accenture</Company>
  <LinksUpToDate>false</LinksUpToDate>
  <CharactersWithSpaces>6146</CharactersWithSpaces>
  <SharedDoc>false</SharedDoc>
  <HLinks>
    <vt:vector size="18" baseType="variant">
      <vt:variant>
        <vt:i4>7667734</vt:i4>
      </vt:variant>
      <vt:variant>
        <vt:i4>6</vt:i4>
      </vt:variant>
      <vt:variant>
        <vt:i4>0</vt:i4>
      </vt:variant>
      <vt:variant>
        <vt:i4>5</vt:i4>
      </vt:variant>
      <vt:variant>
        <vt:lpwstr>mailto:marketa.cinkova@aspen.pr</vt:lpwstr>
      </vt:variant>
      <vt:variant>
        <vt:lpwstr/>
      </vt:variant>
      <vt:variant>
        <vt:i4>5570607</vt:i4>
      </vt:variant>
      <vt:variant>
        <vt:i4>3</vt:i4>
      </vt:variant>
      <vt:variant>
        <vt:i4>0</vt:i4>
      </vt:variant>
      <vt:variant>
        <vt:i4>5</vt:i4>
      </vt:variant>
      <vt:variant>
        <vt:lpwstr>mailto:petr.jarkovsky@aspen.pr</vt:lpwstr>
      </vt:variant>
      <vt:variant>
        <vt:lpwstr/>
      </vt:variant>
      <vt:variant>
        <vt:i4>5832721</vt:i4>
      </vt:variant>
      <vt:variant>
        <vt:i4>0</vt:i4>
      </vt:variant>
      <vt:variant>
        <vt:i4>0</vt:i4>
      </vt:variant>
      <vt:variant>
        <vt:i4>5</vt:i4>
      </vt:variant>
      <vt:variant>
        <vt:lpwstr>http://www.accenture.com/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
  <cp:lastModifiedBy>Šárka Lachoutová - ASPEN.PR</cp:lastModifiedBy>
  <cp:revision>2</cp:revision>
  <cp:lastPrinted>2004-08-03T08:51:00Z</cp:lastPrinted>
  <dcterms:created xsi:type="dcterms:W3CDTF">2022-01-25T11:10:00Z</dcterms:created>
  <dcterms:modified xsi:type="dcterms:W3CDTF">2022-01-25T11:10:00Z</dcterms:modified>
</cp:coreProperties>
</file>