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F9412" w14:textId="738DA9F2" w:rsidR="004C7BDF" w:rsidRDefault="004C7BDF" w:rsidP="00713EFE">
      <w:pPr>
        <w:pStyle w:val="Zkladntext"/>
        <w:spacing w:after="192"/>
        <w:jc w:val="left"/>
        <w:rPr>
          <w:sz w:val="28"/>
          <w:szCs w:val="28"/>
          <w:lang w:val="cs-CZ"/>
        </w:rPr>
      </w:pPr>
    </w:p>
    <w:p w14:paraId="27506DFA" w14:textId="51E1200A" w:rsidR="002132CC" w:rsidRPr="00BA736B" w:rsidRDefault="002132CC" w:rsidP="00713EFE">
      <w:pPr>
        <w:pStyle w:val="Zkladntext"/>
        <w:spacing w:after="192"/>
        <w:jc w:val="left"/>
        <w:rPr>
          <w:sz w:val="28"/>
          <w:szCs w:val="28"/>
          <w:lang w:val="cs-CZ"/>
        </w:rPr>
      </w:pPr>
      <w:r w:rsidRPr="00BA736B">
        <w:rPr>
          <w:sz w:val="28"/>
          <w:szCs w:val="28"/>
          <w:lang w:val="cs-CZ"/>
        </w:rPr>
        <w:t xml:space="preserve">TISKOVÁ </w:t>
      </w:r>
      <w:r w:rsidR="00BF7AFA">
        <w:rPr>
          <w:sz w:val="28"/>
          <w:szCs w:val="28"/>
          <w:lang w:val="cs-CZ"/>
        </w:rPr>
        <w:t>INFORMACE</w:t>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00E25925">
        <w:rPr>
          <w:sz w:val="28"/>
          <w:szCs w:val="28"/>
          <w:lang w:val="cs-CZ"/>
        </w:rPr>
        <w:t>23</w:t>
      </w:r>
      <w:r w:rsidR="0098607C">
        <w:rPr>
          <w:sz w:val="28"/>
          <w:szCs w:val="28"/>
          <w:lang w:val="cs-CZ"/>
        </w:rPr>
        <w:t xml:space="preserve">. </w:t>
      </w:r>
      <w:r w:rsidR="00077492">
        <w:rPr>
          <w:sz w:val="28"/>
          <w:szCs w:val="28"/>
          <w:lang w:val="cs-CZ"/>
        </w:rPr>
        <w:t>2</w:t>
      </w:r>
      <w:r w:rsidR="0098607C">
        <w:rPr>
          <w:sz w:val="28"/>
          <w:szCs w:val="28"/>
          <w:lang w:val="cs-CZ"/>
        </w:rPr>
        <w:t>. 202</w:t>
      </w:r>
      <w:r w:rsidR="00077492">
        <w:rPr>
          <w:sz w:val="28"/>
          <w:szCs w:val="28"/>
          <w:lang w:val="cs-CZ"/>
        </w:rPr>
        <w:t>2</w:t>
      </w:r>
    </w:p>
    <w:p w14:paraId="5397D7D3" w14:textId="77777777" w:rsidR="009C3377" w:rsidRPr="00BA736B" w:rsidRDefault="009C3377" w:rsidP="00713EFE">
      <w:pPr>
        <w:spacing w:before="280" w:after="192"/>
        <w:rPr>
          <w:b/>
          <w:bCs/>
          <w:sz w:val="24"/>
          <w:szCs w:val="24"/>
        </w:rPr>
      </w:pPr>
    </w:p>
    <w:p w14:paraId="0B44ADC0" w14:textId="6247589A" w:rsidR="009A5DED" w:rsidRDefault="00E25925" w:rsidP="009A5DED">
      <w:pPr>
        <w:pStyle w:val="Bezmezer"/>
        <w:spacing w:after="192"/>
        <w:rPr>
          <w:b/>
          <w:bCs/>
          <w:sz w:val="24"/>
          <w:szCs w:val="24"/>
        </w:rPr>
      </w:pPr>
      <w:r>
        <w:rPr>
          <w:b/>
          <w:bCs/>
          <w:sz w:val="24"/>
          <w:szCs w:val="24"/>
        </w:rPr>
        <w:t xml:space="preserve">Banky a udržitelnost: </w:t>
      </w:r>
      <w:r w:rsidRPr="00E25925">
        <w:rPr>
          <w:b/>
          <w:bCs/>
          <w:sz w:val="24"/>
          <w:szCs w:val="24"/>
        </w:rPr>
        <w:t>Kdo pochopí nové výzvy nejrychleji, vyhraje</w:t>
      </w:r>
    </w:p>
    <w:p w14:paraId="238834BD" w14:textId="0E02EEC5" w:rsidR="00CC1EC6" w:rsidRDefault="00CC1EC6" w:rsidP="009A5DED">
      <w:pPr>
        <w:pStyle w:val="Bezmezer"/>
        <w:spacing w:after="192"/>
        <w:rPr>
          <w:b/>
          <w:bCs/>
        </w:rPr>
      </w:pPr>
      <w:r w:rsidRPr="00CC1EC6">
        <w:rPr>
          <w:b/>
          <w:bCs/>
        </w:rPr>
        <w:t>Komentář Karla Kotouna, senior manažera v oblasti finančních služeb Accenture ČR</w:t>
      </w:r>
    </w:p>
    <w:p w14:paraId="218EB9AF" w14:textId="77777777" w:rsidR="00CC1EC6" w:rsidRPr="00CC1EC6" w:rsidRDefault="00CC1EC6" w:rsidP="009A5DED">
      <w:pPr>
        <w:pStyle w:val="Bezmezer"/>
        <w:spacing w:after="192"/>
        <w:rPr>
          <w:b/>
          <w:bCs/>
        </w:rPr>
      </w:pPr>
    </w:p>
    <w:p w14:paraId="6F0FD957" w14:textId="77777777" w:rsidR="00E25925" w:rsidRDefault="00E25925" w:rsidP="00E25925">
      <w:pPr>
        <w:spacing w:afterLines="160" w:after="384"/>
      </w:pPr>
      <w:r>
        <w:t>Udržitelnost, šetrnější chování k planetě a nové výzvy spojené i třeba se změnou klimatu. To jsou témata, která se řeší napříč společností a nevyhýbají se ani finančnímu světu. Stát na místě nemohou ani banky, za nimiž sice je zástup mnohdy věrných zákazníků, avšak pokud by bankovní domy nezačaly včas reflektovat nové trendy, mohou na to v dlouhodobém měřítku doplatit.</w:t>
      </w:r>
    </w:p>
    <w:p w14:paraId="153C8110" w14:textId="2AFEDA21" w:rsidR="00E25925" w:rsidRDefault="00E25925" w:rsidP="00E25925">
      <w:pPr>
        <w:spacing w:afterLines="160" w:after="384"/>
      </w:pPr>
      <w:r>
        <w:t>ESG</w:t>
      </w:r>
      <w:r w:rsidR="00CC1EC6">
        <w:t xml:space="preserve">: </w:t>
      </w:r>
      <w:r>
        <w:t>Environmental, Social a Governance. Pod touto zkratkou se skrývají nefinanční kritéria, která měří dopad na životní prostředí (E), respekt k sociálním hodnotám (S) a aspekty prospěšného řízení společností (G). To je v současnosti jedno z hlavních témat, které hýbe světovými finančními trhy. Důkazem je i konference COP26 uskutečněná v listopadu loňského roku v Glasgow, kde byla ustanovena iniciativa GFANZ (Glasgow Financial Alliance For Net Zero).</w:t>
      </w:r>
    </w:p>
    <w:p w14:paraId="4D2FEE58" w14:textId="77777777" w:rsidR="00E25925" w:rsidRDefault="00E25925" w:rsidP="00E25925">
      <w:pPr>
        <w:spacing w:afterLines="160" w:after="384"/>
      </w:pPr>
      <w:r>
        <w:t>Tato iniciativa sdružuje přes 100 bank a spravuje 67 trilionů dolarů a udala jasný směr, že finanční instituce jsou jedním z hlavních hybných faktorů v našem boji s klimatickou změnou. Jsou ale banky na tuto výzvu ohledně změny svého obchodního modelu připraveny? Jakým dalším výzvám v současné době banky čelí a které z nich přežijí „zelenou revoluci“?</w:t>
      </w:r>
    </w:p>
    <w:p w14:paraId="635FB690" w14:textId="77777777" w:rsidR="00E25925" w:rsidRDefault="00E25925" w:rsidP="00E25925">
      <w:pPr>
        <w:spacing w:afterLines="160" w:after="384"/>
      </w:pPr>
      <w:r>
        <w:t>Tlak na větší aktivitu v rámci společenské odpovědnosti, zvyšující se růst rizikových nákladů, udržitelná regulace a požadavky ze strany zákazníků na lepší služby – na to vše se dnes banky musí připravit. Co to pro ně znamená?</w:t>
      </w:r>
    </w:p>
    <w:p w14:paraId="103AFA00" w14:textId="77777777" w:rsidR="00E25925" w:rsidRDefault="00E25925" w:rsidP="00E25925">
      <w:pPr>
        <w:spacing w:afterLines="160" w:after="384"/>
      </w:pPr>
      <w:r>
        <w:t>Ačkoliv výše úrokové sazby a kvalita služeb zůstávají hlavními faktory, které ovlivňují rozhodování zákazníků, většina z nich se také domnívá, že dnešní banky by měly být aktivnější v záležitostech souvisejících se společenskou odpovědností. Ty banky, které tak neučiní, riskují, že budou vytlačeny konkurencí s jasnou misí a vyšším cílem, než je vydělávání peněz.</w:t>
      </w:r>
    </w:p>
    <w:p w14:paraId="41959B6E" w14:textId="77777777" w:rsidR="00E25925" w:rsidRDefault="00E25925" w:rsidP="00E25925">
      <w:pPr>
        <w:spacing w:afterLines="160" w:after="384"/>
      </w:pPr>
      <w:r>
        <w:t>Podle výzkumu učiněného společností Zeno Group tento názor převažuje u 92 procent respondentů z generace Z a u 90 procent mileniálů. U generací, jakými jsou Husákovy děti a starší, bylo zastoupení tohoto názoru mezi 77 procenty a 73 procenty respondentů. V tomto ohledu tedy banky mají před sebou stále velkou výzvu, jelikož podle stejného výzkumu si pouze 37 procent zákazníků v současné době myslí, že společnosti mají jasně definovaný svůj společensky prospěšný cíl.</w:t>
      </w:r>
    </w:p>
    <w:p w14:paraId="7F021E69" w14:textId="10BD809E" w:rsidR="00E25925" w:rsidRDefault="00E25925" w:rsidP="00E25925">
      <w:pPr>
        <w:spacing w:afterLines="160" w:after="384"/>
      </w:pPr>
      <w:r>
        <w:lastRenderedPageBreak/>
        <w:t>Příkladem na českém trhu je Air Bank, která se svým sloganem „I banku můžete mít rádi“ jasně dává najevo svůj cíl, jenž je posléze propagován do produktů, smluv a celkové komunikace.</w:t>
      </w:r>
      <w:r w:rsidR="008A5C17">
        <w:t xml:space="preserve"> </w:t>
      </w:r>
      <w:r>
        <w:t>Riziko finančního dopadu změny klimatu na výsledovky bank je evidentní již i u nás. Výkyvy počasí ovlivňující zemědělskou úrodu nebo nedávné ničivé tornádo na Moravě jsou příklady důsledků postupně rostoucí průměrné teploty v České republice. Na základě stress-testů francouzského regulatorního úřadu může vést tato změna klimatu ke 30–40% zvýšení rizikových nákladů bank.Tato skutečnost prakticky znamená vyšší rizikovost, a tím pádem i zvýšení úrokových sazeb a poplatků u projektů, které jsou vystaveny vyššímu klimatickému riziku. Proto je důležité, aby banky uplatnily svou investiční páku a podporovaly převážně udržitelné projekty, omezující negativní dopady na životní prostředí.</w:t>
      </w:r>
    </w:p>
    <w:p w14:paraId="643FAC31" w14:textId="70308725" w:rsidR="00E25925" w:rsidRDefault="00E25925" w:rsidP="00E25925">
      <w:pPr>
        <w:spacing w:afterLines="160" w:after="384"/>
      </w:pPr>
      <w:r>
        <w:t>Vzhledem k prokázanému negativnímu dopadu změny životního prostředí na stabilitu finančního sektoru přicházejí i evropští regulátoři s bankovní regulací zaměřenou v první fázi na klasifikaci bankovních aktiv dle udržitelných pravidel. V praxi to znamená, že takzvaný poměr zelených aktiv banky (GAR – Green Asset Ratio) ukazuje, kolik peněz banka půjčila anebo investovala do společností či projektů spojených s udržitelnou ekonomikou a kolik jich investovala například do uhelných elektráren. Definici, co je více udržitelné a co méně, udává Taxonomie EU (EU-Taxonomy).Zatím neexistuje žádná regulace či nařízení, které by znevýhodňovaly banky, jež budou mít větší podíl svých aktiv zainvestovaných do neudržitelných aktiv. Na druhou stranu investoři, od nichž si banky půjčují peníze, už tyto atributy zohledňují a podobná diskuze probíhá i na půdě Evropské unie.</w:t>
      </w:r>
    </w:p>
    <w:p w14:paraId="079E9432" w14:textId="4DE1F2E8" w:rsidR="00E25925" w:rsidRDefault="00E25925" w:rsidP="00E25925">
      <w:pPr>
        <w:spacing w:afterLines="160" w:after="384"/>
      </w:pPr>
      <w:r>
        <w:t>Česká národní banka zatím zůstává, co se týče regulace ESG, klidnou a zaujímá konzervativní postoj. Podle jejího názoru již v současné době dochází k zahrnování těchto rizik do bankovních rizikových modelů, a tak žádná dodatečná regulace není potřeba. Tento názor je zcela správný, na druhou stranu ovšem nebere plně v potaz dlouhodobý pohled na dopady klimatické změny a na stabilitu finančního sektoru.</w:t>
      </w:r>
      <w:r w:rsidR="00E117C9">
        <w:t xml:space="preserve"> </w:t>
      </w:r>
      <w:r>
        <w:t>Ačkoliv dnes banky musí jen reportovat poměr svých zelených aktiv, opozdilci v oblasti udržitelného úvěrování mohou čelit nárůstu úvěrových rizik a poklesu ziskovosti, protože rizika ESG, jako je expozice fosilním palivům, se koncentrují v jejich úvěrových portfoliích.</w:t>
      </w:r>
    </w:p>
    <w:p w14:paraId="18E13350" w14:textId="346D115E" w:rsidR="00E25925" w:rsidRDefault="00E25925" w:rsidP="00E25925">
      <w:pPr>
        <w:spacing w:afterLines="160" w:after="384"/>
      </w:pPr>
      <w:r>
        <w:t>V neposlední řadě na banky tlačí jejich zákazníci, zhýčkaní jinými technologickými společnostmi, nabídkou širších služeb, osobnějším přístupem a mikrosegmentací produktů. Aby banky dokázaly naplnit očekávání zákazníků, je zapotřebí učinit několik kroků.Zaprvé musí inovovat své produktové portfolio na mikroúrovni. Například již nebude stačit „půjčka“, ale bude potřeba „půjčka pro Uber řidiče s elekroautem“, „rychlá půjčka pro lokální stánkaře“, a podobně.</w:t>
      </w:r>
      <w:r w:rsidR="00E117C9">
        <w:t xml:space="preserve"> </w:t>
      </w:r>
      <w:r>
        <w:t>Zadruhé vedoucí banky přivádějí zákazníky do ekosystému, kde je propojují s dalšími službami a vytvářejí tak dynamickou zákaznickou zkušenost.Třetím krokem je poskytování personalizovaných analytických přehledů zákazníkům. To zvyšuje frekvenci vztahu se zákazníkem a jeho spokojenost. Příkladem může být společnost Ecolytiq analyzující transakce klientů s ohledem na jejich uhlíkovou stopu.</w:t>
      </w:r>
    </w:p>
    <w:p w14:paraId="3A42C518" w14:textId="202C77B6" w:rsidR="00E25925" w:rsidRDefault="00E25925" w:rsidP="00E25925">
      <w:pPr>
        <w:spacing w:afterLines="160" w:after="384"/>
      </w:pPr>
      <w:r>
        <w:t>Aby banky těmto výzvám dokázaly úspěšně čelit, budou muset učinit několik kroků – vytvořit udržitelná data, důsledně inovovat produkty a efektivně edukovat zákazníky i své vlastní zaměstnance.</w:t>
      </w:r>
      <w:r w:rsidR="008A5C17">
        <w:t xml:space="preserve"> </w:t>
      </w:r>
      <w:r>
        <w:t xml:space="preserve">V souvislosti se zelenou bankovní revolucí spočívá hlavní výzva v dostatku dat o zákaznících a o změně </w:t>
      </w:r>
      <w:r>
        <w:lastRenderedPageBreak/>
        <w:t>klimatu. Banky již dnes musí klasifikovat své zákazníky dle udržitelné metodologie. Ta je ovšem stále nejasná, což vytváří spoustu otázek na regulátory s ohledem na to, co je udržitelné a co není.</w:t>
      </w:r>
    </w:p>
    <w:p w14:paraId="2E90097A" w14:textId="77777777" w:rsidR="00E25925" w:rsidRDefault="00E25925" w:rsidP="00E25925">
      <w:pPr>
        <w:spacing w:afterLines="160" w:after="384"/>
      </w:pPr>
      <w:r>
        <w:t>Kreditní společnosti postupně začínají pracovat na rozšíření svých databází o udržitelné indikátory, ale pokrytí menších trhů, jako je ten český, ještě chvíli potrvá. I proto Česká bankovní asociace usilovně pracuje na přípravě metodologie a sdílené databáze mezi českými bankami.</w:t>
      </w:r>
    </w:p>
    <w:p w14:paraId="66C86C67" w14:textId="77777777" w:rsidR="00E25925" w:rsidRDefault="00E25925" w:rsidP="00E25925">
      <w:pPr>
        <w:spacing w:afterLines="160" w:after="384"/>
      </w:pPr>
      <w:r>
        <w:t>S tím souvisí i problematika zahrnutí dat o změně klimatu do rizikových modelů. Jedná se o data, jakými jsou například projekce fyzikálních rizik, projekce změn klimatické politiky státu, plány pro nízkouhlíkové IT, energetické modely ekonomiky, údaje o dodavatelském řetězci, uhlíkové emise ekonomiky a jednotlivých sektorů či dekarbonizační plány. Dostupnost a šíře těchto dat je stále omezená, a proto risk manažeři stále váhají v přístupu ke změně svých matematických modelů.</w:t>
      </w:r>
    </w:p>
    <w:p w14:paraId="31F39884" w14:textId="77777777" w:rsidR="00E25925" w:rsidRDefault="00E25925" w:rsidP="00E25925">
      <w:pPr>
        <w:spacing w:afterLines="160" w:after="384"/>
      </w:pPr>
      <w:r>
        <w:t>Správná a spolehlivá data jsou nicméně základem pro úspěch jakýchkoliv snah o udržitelnou změnu. Proto by banky měly své systémy vybavit dostatečnou agilitou, aby mohly rychle a pružně reagovat na změny ESG regulace a nové datové zdroje. Banky, které toto podstoupí, zároveň zajistí přívětivější zákaznickou zkušenost a vyšší rychlost onboardingu nových klientů.</w:t>
      </w:r>
    </w:p>
    <w:p w14:paraId="42583598" w14:textId="77777777" w:rsidR="00E25925" w:rsidRDefault="00E25925" w:rsidP="00E25925">
      <w:pPr>
        <w:spacing w:afterLines="160" w:after="384"/>
      </w:pPr>
      <w:r>
        <w:t>Bankovní produkty vázané na udržitelný rozvoj raketově vzrostly z pěti miliard dolarů v roce 2017 na 120 miliard dolarů v roce 2020. Stále ovšem tvoří jen kapku v moři na globálním trhu, který má hodnotu kolem 6,8 bilionu dolarů ročně. To, že se jedná stále ještě o marginální část bankovního byznysu, potvrzuje i výzkum společnosti BankTrack, který identifikoval, že z 60 největších světových bank analyzovaných společností BankTrack bylo 50 klasifikováno jako zaostávajících v podpoře bankovních produktů vázaných na udržitelný rozvoj.</w:t>
      </w:r>
    </w:p>
    <w:p w14:paraId="4D0CEA00" w14:textId="77777777" w:rsidR="00E25925" w:rsidRDefault="00E25925" w:rsidP="00E25925">
      <w:pPr>
        <w:spacing w:afterLines="160" w:after="384"/>
      </w:pPr>
      <w:r>
        <w:t>Na druhou stranu, zájem ze strany zákazníků o udržitelné produkty roste, a tak banky, které se dnes ujmou vedení a rozvinou znalosti a dovednosti ve svých udržitelných úvěrových praktikách, mají velkou pravděpodobnost stát se lídry na udržitelném trhu s půjčkami budoucnosti.</w:t>
      </w:r>
    </w:p>
    <w:p w14:paraId="4BFF9363" w14:textId="77777777" w:rsidR="00E25925" w:rsidRDefault="00E25925" w:rsidP="00E25925">
      <w:pPr>
        <w:spacing w:afterLines="160" w:after="384"/>
      </w:pPr>
      <w:r>
        <w:t>Příkladem takového udržitelného bankovního produktu jsou úsporné hypotéky ČSOB, které dávají majitelům domů slevu ze sazby hypotéky, pokud dům splňuje konkrétní energetické standardy, či takzvaná „Ekologická platební karta“, kterou představila skupina ČSOB v roce 2020. Tato platební karta odměňuje držitele za jejich udržitelné spotřební chování, umožňuje snadné darování peněz udržitelným projektům a navíc je z recyklovaného plastu.</w:t>
      </w:r>
    </w:p>
    <w:p w14:paraId="26C61336" w14:textId="77777777" w:rsidR="00E25925" w:rsidRDefault="00E25925" w:rsidP="00E25925">
      <w:pPr>
        <w:spacing w:afterLines="160" w:after="384"/>
      </w:pPr>
      <w:r>
        <w:t>Moneta zase ve spolupráci s programem pro zaměstnanost a sociální inovace EaSI poskytuje úvěry pro ženy podnikatelky. Přestože mají ženy o 2 až 4,5 procenta nižší pravděpodobnost, že nesplatí poskytnutou půjčku, je jim navzdory nízkému rizikovému profilu poskytována v nižší částce, než je tomu u mužů.</w:t>
      </w:r>
    </w:p>
    <w:p w14:paraId="4DD16D2A" w14:textId="6C27E970" w:rsidR="00E25925" w:rsidRDefault="00E25925" w:rsidP="00E25925">
      <w:pPr>
        <w:spacing w:afterLines="160" w:after="384"/>
      </w:pPr>
      <w:r>
        <w:lastRenderedPageBreak/>
        <w:t>Mezi příklady zahraničních udržitelných bankovních produktů patří zelené půjčky singapurské banky OCBC, jež podporují zelenější ekonomiku, usnadňují investice do obnovitelné energie, zelených budov a udržitelného zemědělství, nebo zelený leasing španělské banky BBVA, který nabízí slevu u úvěrů na auta 100% poháněná elektřinou.Banky, jež chtějí oslovit více zákazníků, kterým záleží na změně klimatu, musí inovovat své produktové portfolio na výše zmíněné úrovni. Navíc je třeba komunikovat danou produktovou nabídku tak, aby předešly greenwashingu a komunikace byla dostatečně účinná a cílená.</w:t>
      </w:r>
      <w:r w:rsidR="00E117C9">
        <w:t xml:space="preserve"> </w:t>
      </w:r>
      <w:r>
        <w:t>I přes zvyšující se procento lidí, kterým záleží na udržitelné změně, je veřejné porozumění o tom, co je udržitelné, jaké to má výhody a co pro to každý z nás může udělat, stále velmi omezené. To stejné platí i o zaměstnancích bank, kteří zatím nemají dostačující povědomí o udržitelném chování, a i proto nemohou vést relevantní rozhovory se svými zákazníky.</w:t>
      </w:r>
    </w:p>
    <w:p w14:paraId="7655CE34" w14:textId="77777777" w:rsidR="00E25925" w:rsidRDefault="00E25925" w:rsidP="00E25925">
      <w:pPr>
        <w:spacing w:afterLines="160" w:after="384"/>
      </w:pPr>
      <w:r>
        <w:t>Na druhou stranu, podle Harvard Business Review je 9 z 10 zaměstnanců ochotných vyměnit část svého času za vzdělávání a práci s vyšším smyslem. Banky a jejich zaměstnanci tudíž musí efektivně a srozumitelně komunikovat výhody udržitelných produktů tak, aby pomohly zvýšit povědomí veřejnosti o této problematice. Příkladem je například Komerční banka se svojí kampaní O CO 2 JDE.</w:t>
      </w:r>
    </w:p>
    <w:p w14:paraId="7B493211" w14:textId="77777777" w:rsidR="00E25925" w:rsidRDefault="00E25925" w:rsidP="00E25925">
      <w:pPr>
        <w:spacing w:afterLines="160" w:after="384"/>
      </w:pPr>
      <w:r>
        <w:t>Ačkoliv „udržitelná revoluce“ již započala, většina bank na ni zatím příliš aktivně nereaguje. Tento vlažný přístup má několik důvodů. Zaprvé je na vině nedostatek jasných standardů a regulace. Zadruhé za to mohou potenciálně delší doby návratnosti spojené s udržitelnou transformací ekonomiky. Jako třetí příčinu můžeme označit nepochopení problematiky veřejností a zaměstnanci, kteří jsou ovlivněni greenwashingovými praktikami či aktivisty a nevidí přidanou hodnotu v udržitelných obchodních modelech.</w:t>
      </w:r>
    </w:p>
    <w:p w14:paraId="4212B58E" w14:textId="77777777" w:rsidR="00E25925" w:rsidRDefault="00E25925" w:rsidP="00E25925">
      <w:pPr>
        <w:spacing w:afterLines="160" w:after="384"/>
      </w:pPr>
      <w:r>
        <w:t>I přes všechny výše zmíněné výzvy zůstává jedna věc jasná. Téma udržitelnosti a udržitelného bankovnictví nejenže přetrvá, ale jeho důležitost bude sílit. A proto ti bankovní inovátoři, kteří se odhodlají nasednout na udržitelný vlak dříve než ostatní, budou odměněni věrnými zákazníky, menším rizikem, vyššími zisky a v neposlední řadě i lepší planetou.</w:t>
      </w:r>
    </w:p>
    <w:p w14:paraId="787D6333" w14:textId="77777777" w:rsidR="00077492" w:rsidRPr="004F7287" w:rsidRDefault="00077492" w:rsidP="00077492">
      <w:pPr>
        <w:spacing w:afterLines="160" w:after="384"/>
        <w:rPr>
          <w:b/>
          <w:bCs/>
          <w:sz w:val="16"/>
          <w:szCs w:val="16"/>
        </w:rPr>
      </w:pPr>
      <w:r w:rsidRPr="004F7287">
        <w:rPr>
          <w:b/>
          <w:bCs/>
          <w:sz w:val="16"/>
          <w:szCs w:val="16"/>
        </w:rPr>
        <w:t>O společnosti Accenture</w:t>
      </w:r>
    </w:p>
    <w:p w14:paraId="7D5391C3" w14:textId="77777777" w:rsidR="00077492" w:rsidRPr="004F7287" w:rsidRDefault="00077492" w:rsidP="00077492">
      <w:pPr>
        <w:spacing w:afterLines="160" w:after="384"/>
        <w:rPr>
          <w:sz w:val="16"/>
          <w:szCs w:val="16"/>
        </w:rPr>
      </w:pPr>
      <w:r w:rsidRPr="004F7287">
        <w:rPr>
          <w:sz w:val="16"/>
          <w:szCs w:val="16"/>
        </w:rPr>
        <w:t xml:space="preserve">Accenture je globální společnost poskytující profesionální služby v oblasti digitalizace, cloudu a kybernetické bezpečnosti. Díky propojení zkušeností a specializovaných dovedností ve více než 40 průmyslových odvětvích nabízíme služby v oblastech poradenství &amp; strategie, Interactive, Technology a Operations – a to díky podpoře největší celosvětové sítě Advanced Technology a Intelligent Operations center. Našich 674 000 zaměstnanců využívá možnosti nejnovějších technologií i lidské vynalézavosti v práci pro klienty ve více než 120 zemích. Díky síle změn vytváříme hodnoty a zvyšujeme úspěšnost našich klientů, lidí, akcionářů, partnerů i celé společnosti. Navštivte nás na </w:t>
      </w:r>
      <w:hyperlink r:id="rId8">
        <w:r w:rsidRPr="004F7287">
          <w:rPr>
            <w:rStyle w:val="Hypertextovodkaz"/>
            <w:sz w:val="16"/>
            <w:szCs w:val="16"/>
          </w:rPr>
          <w:t>www.accenture.com</w:t>
        </w:r>
      </w:hyperlink>
      <w:r w:rsidRPr="004F7287">
        <w:rPr>
          <w:sz w:val="16"/>
          <w:szCs w:val="16"/>
        </w:rPr>
        <w:t xml:space="preserve"> nebo </w:t>
      </w:r>
      <w:hyperlink r:id="rId9">
        <w:r w:rsidRPr="004F7287">
          <w:rPr>
            <w:rStyle w:val="Hypertextovodkaz"/>
            <w:sz w:val="16"/>
            <w:szCs w:val="16"/>
          </w:rPr>
          <w:t>https://www.accenture.com/cz-en/about/company/newsroom</w:t>
        </w:r>
      </w:hyperlink>
      <w:r w:rsidRPr="004F7287">
        <w:rPr>
          <w:sz w:val="16"/>
          <w:szCs w:val="16"/>
        </w:rPr>
        <w:t>.</w:t>
      </w:r>
    </w:p>
    <w:p w14:paraId="0A0BD7F6" w14:textId="77777777" w:rsidR="00E20853" w:rsidRPr="004F7287" w:rsidRDefault="00E20853" w:rsidP="00E20853">
      <w:pPr>
        <w:pStyle w:val="Textkomente"/>
        <w:spacing w:after="192"/>
        <w:contextualSpacing/>
        <w:rPr>
          <w:b/>
          <w:bCs/>
          <w:sz w:val="16"/>
          <w:szCs w:val="16"/>
        </w:rPr>
      </w:pPr>
      <w:r w:rsidRPr="004F7287">
        <w:rPr>
          <w:b/>
          <w:bCs/>
          <w:sz w:val="16"/>
          <w:szCs w:val="16"/>
        </w:rPr>
        <w:t xml:space="preserve">Kontakt pro média: </w:t>
      </w:r>
      <w:r w:rsidRPr="004F7287">
        <w:rPr>
          <w:b/>
          <w:bCs/>
          <w:sz w:val="16"/>
          <w:szCs w:val="16"/>
        </w:rPr>
        <w:tab/>
      </w:r>
    </w:p>
    <w:p w14:paraId="03689E0F" w14:textId="77777777" w:rsidR="00E20853" w:rsidRPr="004F7287" w:rsidRDefault="00E20853" w:rsidP="00E20853">
      <w:pPr>
        <w:pStyle w:val="Textkomente"/>
        <w:spacing w:after="192"/>
        <w:contextualSpacing/>
        <w:rPr>
          <w:sz w:val="16"/>
          <w:szCs w:val="16"/>
        </w:rPr>
      </w:pPr>
      <w:r w:rsidRPr="004F7287">
        <w:rPr>
          <w:sz w:val="16"/>
          <w:szCs w:val="16"/>
        </w:rPr>
        <w:t>Lukáš Vejnar, lukas.vejnar@accenture.com, 605 067 979</w:t>
      </w:r>
    </w:p>
    <w:p w14:paraId="5F8466EF" w14:textId="77777777" w:rsidR="00E20853" w:rsidRPr="004F7287" w:rsidRDefault="00E20853" w:rsidP="00E20853">
      <w:pPr>
        <w:pStyle w:val="Textkomente"/>
        <w:spacing w:after="192"/>
        <w:contextualSpacing/>
        <w:rPr>
          <w:sz w:val="16"/>
          <w:szCs w:val="16"/>
        </w:rPr>
      </w:pPr>
      <w:r w:rsidRPr="004F7287">
        <w:rPr>
          <w:sz w:val="16"/>
          <w:szCs w:val="16"/>
        </w:rPr>
        <w:t>Petr Jarkovský, petr.jarkovsky@aspen.pr, 774 225 153</w:t>
      </w:r>
    </w:p>
    <w:p w14:paraId="756DD595" w14:textId="77777777" w:rsidR="000663DE" w:rsidRPr="004F7287" w:rsidRDefault="00E20853" w:rsidP="00B26491">
      <w:pPr>
        <w:pStyle w:val="Textkomente"/>
        <w:spacing w:after="192"/>
        <w:rPr>
          <w:sz w:val="16"/>
          <w:szCs w:val="16"/>
        </w:rPr>
      </w:pPr>
      <w:r w:rsidRPr="004F7287">
        <w:rPr>
          <w:sz w:val="16"/>
          <w:szCs w:val="16"/>
        </w:rPr>
        <w:t>Markéta Ciňková, marketa.cinkova@aspen.pr, 724 012 612</w:t>
      </w:r>
    </w:p>
    <w:sectPr w:rsidR="000663DE" w:rsidRPr="004F7287" w:rsidSect="003006BF">
      <w:headerReference w:type="default" r:id="rId10"/>
      <w:type w:val="continuous"/>
      <w:pgSz w:w="11907" w:h="16840"/>
      <w:pgMar w:top="1701"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6EECD" w14:textId="77777777" w:rsidR="00E94370" w:rsidRDefault="00E94370">
      <w:pPr>
        <w:spacing w:after="192"/>
        <w:rPr>
          <w:rFonts w:ascii="Times New Roman" w:hAnsi="Times New Roman"/>
        </w:rPr>
      </w:pPr>
      <w:r>
        <w:rPr>
          <w:rFonts w:ascii="Times New Roman" w:hAnsi="Times New Roman"/>
        </w:rPr>
        <w:separator/>
      </w:r>
    </w:p>
  </w:endnote>
  <w:endnote w:type="continuationSeparator" w:id="0">
    <w:p w14:paraId="25AA542B" w14:textId="77777777" w:rsidR="00E94370" w:rsidRDefault="00E94370">
      <w:pPr>
        <w:spacing w:after="192"/>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A0D0D" w14:textId="77777777" w:rsidR="00E94370" w:rsidRDefault="00E94370">
      <w:pPr>
        <w:spacing w:after="192"/>
        <w:rPr>
          <w:rFonts w:ascii="Times New Roman" w:hAnsi="Times New Roman"/>
        </w:rPr>
      </w:pPr>
      <w:r>
        <w:rPr>
          <w:rFonts w:ascii="Times New Roman" w:hAnsi="Times New Roman"/>
        </w:rPr>
        <w:separator/>
      </w:r>
    </w:p>
  </w:footnote>
  <w:footnote w:type="continuationSeparator" w:id="0">
    <w:p w14:paraId="24F7F13A" w14:textId="77777777" w:rsidR="00E94370" w:rsidRDefault="00E94370">
      <w:pPr>
        <w:spacing w:after="192"/>
        <w:rPr>
          <w:rFonts w:ascii="Times New Roman" w:hAnsi="Times New Roman"/>
        </w:rPr>
      </w:pPr>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43" w:type="dxa"/>
      <w:tblBorders>
        <w:top w:val="dotted" w:sz="4" w:space="0" w:color="FFFFFF"/>
        <w:left w:val="dotted" w:sz="4" w:space="0" w:color="FFFFFF"/>
        <w:bottom w:val="dotted" w:sz="4" w:space="0" w:color="FFFFFF"/>
        <w:right w:val="dotted" w:sz="4" w:space="0" w:color="FFFFFF"/>
        <w:insideV w:val="dotted" w:sz="4" w:space="0" w:color="FFFFFF"/>
      </w:tblBorders>
      <w:tblLayout w:type="fixed"/>
      <w:tblLook w:val="0000" w:firstRow="0" w:lastRow="0" w:firstColumn="0" w:lastColumn="0" w:noHBand="0" w:noVBand="0"/>
    </w:tblPr>
    <w:tblGrid>
      <w:gridCol w:w="5973"/>
      <w:gridCol w:w="4870"/>
    </w:tblGrid>
    <w:tr w:rsidR="002132CC" w14:paraId="1C3F7EDA" w14:textId="77777777" w:rsidTr="00DF79C4">
      <w:trPr>
        <w:trHeight w:val="1979"/>
      </w:trPr>
      <w:tc>
        <w:tcPr>
          <w:tcW w:w="5973" w:type="dxa"/>
        </w:tcPr>
        <w:p w14:paraId="3757F130" w14:textId="77777777" w:rsidR="002132CC" w:rsidRDefault="00BF1F3E">
          <w:pPr>
            <w:pStyle w:val="Zhlav"/>
            <w:spacing w:before="60" w:after="192"/>
            <w:rPr>
              <w:rFonts w:ascii="Times New Roman" w:hAnsi="Times New Roman"/>
            </w:rPr>
          </w:pPr>
          <w:r>
            <w:drawing>
              <wp:anchor distT="0" distB="0" distL="114300" distR="114300" simplePos="0" relativeHeight="251657728" behindDoc="1" locked="0" layoutInCell="1" allowOverlap="1" wp14:anchorId="5DFE9B29" wp14:editId="0B9368A3">
                <wp:simplePos x="0" y="0"/>
                <wp:positionH relativeFrom="column">
                  <wp:posOffset>-2463165</wp:posOffset>
                </wp:positionH>
                <wp:positionV relativeFrom="paragraph">
                  <wp:posOffset>635</wp:posOffset>
                </wp:positionV>
                <wp:extent cx="2187575" cy="1038225"/>
                <wp:effectExtent l="0" t="0" r="0" b="0"/>
                <wp:wrapTight wrapText="bothSides">
                  <wp:wrapPolygon edited="0">
                    <wp:start x="0" y="793"/>
                    <wp:lineTo x="0" y="21402"/>
                    <wp:lineTo x="21443" y="21402"/>
                    <wp:lineTo x="21443" y="793"/>
                    <wp:lineTo x="0" y="793"/>
                  </wp:wrapPolygon>
                </wp:wrapTight>
                <wp:docPr id="3"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ek 1"/>
                        <pic:cNvPicPr>
                          <a:picLocks/>
                        </pic:cNvPicPr>
                      </pic:nvPicPr>
                      <pic:blipFill>
                        <a:blip r:embed="rId1">
                          <a:extLst>
                            <a:ext uri="{28A0092B-C50C-407E-A947-70E740481C1C}">
                              <a14:useLocalDpi xmlns:a14="http://schemas.microsoft.com/office/drawing/2010/main" val="0"/>
                            </a:ext>
                          </a:extLst>
                        </a:blip>
                        <a:srcRect t="-6863"/>
                        <a:stretch>
                          <a:fillRect/>
                        </a:stretch>
                      </pic:blipFill>
                      <pic:spPr bwMode="auto">
                        <a:xfrm>
                          <a:off x="0" y="0"/>
                          <a:ext cx="2187575" cy="1038225"/>
                        </a:xfrm>
                        <a:prstGeom prst="rect">
                          <a:avLst/>
                        </a:prstGeom>
                        <a:noFill/>
                      </pic:spPr>
                    </pic:pic>
                  </a:graphicData>
                </a:graphic>
                <wp14:sizeRelH relativeFrom="page">
                  <wp14:pctWidth>0</wp14:pctWidth>
                </wp14:sizeRelH>
                <wp14:sizeRelV relativeFrom="page">
                  <wp14:pctHeight>0</wp14:pctHeight>
                </wp14:sizeRelV>
              </wp:anchor>
            </w:drawing>
          </w:r>
        </w:p>
      </w:tc>
      <w:tc>
        <w:tcPr>
          <w:tcW w:w="4870" w:type="dxa"/>
        </w:tcPr>
        <w:p w14:paraId="43CCA0BE" w14:textId="77777777" w:rsidR="002132CC" w:rsidRPr="000663DE" w:rsidRDefault="002132CC" w:rsidP="000663DE">
          <w:pPr>
            <w:spacing w:after="192"/>
          </w:pPr>
        </w:p>
      </w:tc>
    </w:tr>
  </w:tbl>
  <w:p w14:paraId="4AF24544" w14:textId="77777777" w:rsidR="002132CC" w:rsidRDefault="002132CC">
    <w:pPr>
      <w:pStyle w:val="Zhlav"/>
      <w:spacing w:after="192"/>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28AB"/>
    <w:multiLevelType w:val="singleLevel"/>
    <w:tmpl w:val="08090005"/>
    <w:lvl w:ilvl="0">
      <w:start w:val="1"/>
      <w:numFmt w:val="bullet"/>
      <w:lvlText w:val=""/>
      <w:lvlJc w:val="left"/>
      <w:pPr>
        <w:tabs>
          <w:tab w:val="num" w:pos="360"/>
        </w:tabs>
        <w:ind w:left="360" w:hanging="360"/>
      </w:pPr>
      <w:rPr>
        <w:rFonts w:ascii="Wingdings" w:hAnsi="Wingdings" w:cs="Times New Roman" w:hint="default"/>
      </w:rPr>
    </w:lvl>
  </w:abstractNum>
  <w:abstractNum w:abstractNumId="1" w15:restartNumberingAfterBreak="0">
    <w:nsid w:val="0B5C7C89"/>
    <w:multiLevelType w:val="hybridMultilevel"/>
    <w:tmpl w:val="D6AC098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C9437FF"/>
    <w:multiLevelType w:val="hybridMultilevel"/>
    <w:tmpl w:val="0DD2990E"/>
    <w:lvl w:ilvl="0" w:tplc="FB7C63CC">
      <w:start w:val="5"/>
      <w:numFmt w:val="bullet"/>
      <w:lvlText w:val=""/>
      <w:lvlJc w:val="left"/>
      <w:pPr>
        <w:ind w:left="720" w:hanging="360"/>
      </w:pPr>
      <w:rPr>
        <w:rFonts w:ascii="Symbol" w:eastAsia="Times New Roman"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3" w15:restartNumberingAfterBreak="0">
    <w:nsid w:val="0D9C5ADB"/>
    <w:multiLevelType w:val="hybridMultilevel"/>
    <w:tmpl w:val="315E28EA"/>
    <w:lvl w:ilvl="0" w:tplc="04050001">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4" w15:restartNumberingAfterBreak="0">
    <w:nsid w:val="0DE961E1"/>
    <w:multiLevelType w:val="multilevel"/>
    <w:tmpl w:val="8C62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901E4"/>
    <w:multiLevelType w:val="hybridMultilevel"/>
    <w:tmpl w:val="21762D4C"/>
    <w:lvl w:ilvl="0" w:tplc="04090001">
      <w:start w:val="1"/>
      <w:numFmt w:val="bullet"/>
      <w:lvlText w:val=""/>
      <w:lvlJc w:val="left"/>
      <w:pPr>
        <w:ind w:left="1080" w:hanging="360"/>
      </w:pPr>
      <w:rPr>
        <w:rFonts w:ascii="Symbol"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Times New Roman" w:hint="default"/>
      </w:rPr>
    </w:lvl>
    <w:lvl w:ilvl="3" w:tplc="04090001">
      <w:start w:val="1"/>
      <w:numFmt w:val="bullet"/>
      <w:lvlText w:val=""/>
      <w:lvlJc w:val="left"/>
      <w:pPr>
        <w:ind w:left="3240" w:hanging="360"/>
      </w:pPr>
      <w:rPr>
        <w:rFonts w:ascii="Symbol" w:hAnsi="Symbol" w:cs="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Times New Roman" w:hint="default"/>
      </w:rPr>
    </w:lvl>
    <w:lvl w:ilvl="6" w:tplc="04090001">
      <w:start w:val="1"/>
      <w:numFmt w:val="bullet"/>
      <w:lvlText w:val=""/>
      <w:lvlJc w:val="left"/>
      <w:pPr>
        <w:ind w:left="5400" w:hanging="360"/>
      </w:pPr>
      <w:rPr>
        <w:rFonts w:ascii="Symbol" w:hAnsi="Symbol" w:cs="Times New Roman"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Times New Roman" w:hint="default"/>
      </w:rPr>
    </w:lvl>
  </w:abstractNum>
  <w:abstractNum w:abstractNumId="6" w15:restartNumberingAfterBreak="0">
    <w:nsid w:val="1C202BBE"/>
    <w:multiLevelType w:val="hybridMultilevel"/>
    <w:tmpl w:val="86143E16"/>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7" w15:restartNumberingAfterBreak="0">
    <w:nsid w:val="29EE5719"/>
    <w:multiLevelType w:val="hybridMultilevel"/>
    <w:tmpl w:val="3266E120"/>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8" w15:restartNumberingAfterBreak="0">
    <w:nsid w:val="31C3335C"/>
    <w:multiLevelType w:val="hybridMultilevel"/>
    <w:tmpl w:val="C6482AFA"/>
    <w:lvl w:ilvl="0" w:tplc="B65C9F1E">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447F91"/>
    <w:multiLevelType w:val="hybridMultilevel"/>
    <w:tmpl w:val="6E4CC458"/>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0" w15:restartNumberingAfterBreak="0">
    <w:nsid w:val="36715195"/>
    <w:multiLevelType w:val="hybridMultilevel"/>
    <w:tmpl w:val="0E1E11D6"/>
    <w:lvl w:ilvl="0" w:tplc="04090001">
      <w:start w:val="1"/>
      <w:numFmt w:val="bullet"/>
      <w:lvlText w:val=""/>
      <w:lvlJc w:val="left"/>
      <w:pPr>
        <w:ind w:left="360" w:hanging="360"/>
      </w:pPr>
      <w:rPr>
        <w:rFonts w:ascii="Symbol"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Times New Roman" w:hint="default"/>
      </w:rPr>
    </w:lvl>
    <w:lvl w:ilvl="3" w:tplc="04090001">
      <w:start w:val="1"/>
      <w:numFmt w:val="bullet"/>
      <w:lvlText w:val=""/>
      <w:lvlJc w:val="left"/>
      <w:pPr>
        <w:ind w:left="2520" w:hanging="360"/>
      </w:pPr>
      <w:rPr>
        <w:rFonts w:ascii="Symbol" w:hAnsi="Symbol" w:cs="Times New Roman"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Times New Roman" w:hint="default"/>
      </w:rPr>
    </w:lvl>
    <w:lvl w:ilvl="6" w:tplc="04090001">
      <w:start w:val="1"/>
      <w:numFmt w:val="bullet"/>
      <w:lvlText w:val=""/>
      <w:lvlJc w:val="left"/>
      <w:pPr>
        <w:ind w:left="4680" w:hanging="360"/>
      </w:pPr>
      <w:rPr>
        <w:rFonts w:ascii="Symbol" w:hAnsi="Symbol" w:cs="Times New Roman"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Times New Roman" w:hint="default"/>
      </w:rPr>
    </w:lvl>
  </w:abstractNum>
  <w:abstractNum w:abstractNumId="11" w15:restartNumberingAfterBreak="0">
    <w:nsid w:val="373235F5"/>
    <w:multiLevelType w:val="hybridMultilevel"/>
    <w:tmpl w:val="7A3E3818"/>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2" w15:restartNumberingAfterBreak="0">
    <w:nsid w:val="426F4EC9"/>
    <w:multiLevelType w:val="hybridMultilevel"/>
    <w:tmpl w:val="A1DAAB3E"/>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2DF29D8"/>
    <w:multiLevelType w:val="hybridMultilevel"/>
    <w:tmpl w:val="14045964"/>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4" w15:restartNumberingAfterBreak="0">
    <w:nsid w:val="487579BC"/>
    <w:multiLevelType w:val="hybridMultilevel"/>
    <w:tmpl w:val="5B82F634"/>
    <w:lvl w:ilvl="0" w:tplc="E31679F6">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C87794E"/>
    <w:multiLevelType w:val="hybridMultilevel"/>
    <w:tmpl w:val="CD3C2D64"/>
    <w:lvl w:ilvl="0" w:tplc="04090001">
      <w:start w:val="1"/>
      <w:numFmt w:val="bullet"/>
      <w:lvlText w:val=""/>
      <w:lvlJc w:val="left"/>
      <w:pPr>
        <w:ind w:left="1080" w:hanging="360"/>
      </w:pPr>
      <w:rPr>
        <w:rFonts w:ascii="Symbol" w:hAnsi="Symbol"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16" w15:restartNumberingAfterBreak="0">
    <w:nsid w:val="63673F3B"/>
    <w:multiLevelType w:val="hybridMultilevel"/>
    <w:tmpl w:val="0AF6C7FE"/>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7" w15:restartNumberingAfterBreak="0">
    <w:nsid w:val="6439383B"/>
    <w:multiLevelType w:val="hybridMultilevel"/>
    <w:tmpl w:val="CEEE00A8"/>
    <w:lvl w:ilvl="0" w:tplc="04050001">
      <w:start w:val="1"/>
      <w:numFmt w:val="bullet"/>
      <w:lvlText w:val=""/>
      <w:lvlJc w:val="left"/>
      <w:pPr>
        <w:ind w:left="144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8" w15:restartNumberingAfterBreak="0">
    <w:nsid w:val="68C52C16"/>
    <w:multiLevelType w:val="hybridMultilevel"/>
    <w:tmpl w:val="A918960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1778"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9" w15:restartNumberingAfterBreak="0">
    <w:nsid w:val="6ADB27CB"/>
    <w:multiLevelType w:val="hybridMultilevel"/>
    <w:tmpl w:val="9D541656"/>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20" w15:restartNumberingAfterBreak="0">
    <w:nsid w:val="6D9F4862"/>
    <w:multiLevelType w:val="hybridMultilevel"/>
    <w:tmpl w:val="21482852"/>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0BB114E"/>
    <w:multiLevelType w:val="hybridMultilevel"/>
    <w:tmpl w:val="9E9C467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2" w15:restartNumberingAfterBreak="0">
    <w:nsid w:val="715C390C"/>
    <w:multiLevelType w:val="multilevel"/>
    <w:tmpl w:val="6054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A14917"/>
    <w:multiLevelType w:val="hybridMultilevel"/>
    <w:tmpl w:val="8E70FA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15:restartNumberingAfterBreak="0">
    <w:nsid w:val="769C1B8C"/>
    <w:multiLevelType w:val="hybridMultilevel"/>
    <w:tmpl w:val="7FEE45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7734846"/>
    <w:multiLevelType w:val="hybridMultilevel"/>
    <w:tmpl w:val="BEF07810"/>
    <w:lvl w:ilvl="0" w:tplc="DFB60D2C">
      <w:numFmt w:val="bullet"/>
      <w:lvlText w:val="-"/>
      <w:lvlJc w:val="left"/>
      <w:pPr>
        <w:ind w:left="420" w:hanging="360"/>
      </w:pPr>
      <w:rPr>
        <w:rFonts w:ascii="Arial" w:eastAsia="Times New Roman"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6" w15:restartNumberingAfterBreak="0">
    <w:nsid w:val="7A2541D3"/>
    <w:multiLevelType w:val="multilevel"/>
    <w:tmpl w:val="DC46F602"/>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27" w15:restartNumberingAfterBreak="0">
    <w:nsid w:val="7BC51731"/>
    <w:multiLevelType w:val="hybridMultilevel"/>
    <w:tmpl w:val="D1EAA5C0"/>
    <w:lvl w:ilvl="0" w:tplc="041B0001">
      <w:start w:val="1"/>
      <w:numFmt w:val="bullet"/>
      <w:lvlText w:val=""/>
      <w:lvlJc w:val="left"/>
      <w:pPr>
        <w:ind w:left="765" w:hanging="360"/>
      </w:pPr>
      <w:rPr>
        <w:rFonts w:ascii="Symbol" w:hAnsi="Symbol"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8" w15:restartNumberingAfterBreak="0">
    <w:nsid w:val="7E792F41"/>
    <w:multiLevelType w:val="hybridMultilevel"/>
    <w:tmpl w:val="EC506BE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9" w15:restartNumberingAfterBreak="0">
    <w:nsid w:val="7EAB47C8"/>
    <w:multiLevelType w:val="hybridMultilevel"/>
    <w:tmpl w:val="F238E1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11"/>
  </w:num>
  <w:num w:numId="4">
    <w:abstractNumId w:val="26"/>
  </w:num>
  <w:num w:numId="5">
    <w:abstractNumId w:val="28"/>
  </w:num>
  <w:num w:numId="6">
    <w:abstractNumId w:val="15"/>
  </w:num>
  <w:num w:numId="7">
    <w:abstractNumId w:val="21"/>
  </w:num>
  <w:num w:numId="8">
    <w:abstractNumId w:val="2"/>
  </w:num>
  <w:num w:numId="9">
    <w:abstractNumId w:val="7"/>
  </w:num>
  <w:num w:numId="10">
    <w:abstractNumId w:val="9"/>
  </w:num>
  <w:num w:numId="11">
    <w:abstractNumId w:val="16"/>
  </w:num>
  <w:num w:numId="12">
    <w:abstractNumId w:val="3"/>
  </w:num>
  <w:num w:numId="13">
    <w:abstractNumId w:val="13"/>
  </w:num>
  <w:num w:numId="14">
    <w:abstractNumId w:val="19"/>
  </w:num>
  <w:num w:numId="15">
    <w:abstractNumId w:val="12"/>
  </w:num>
  <w:num w:numId="16">
    <w:abstractNumId w:val="20"/>
  </w:num>
  <w:num w:numId="17">
    <w:abstractNumId w:val="29"/>
  </w:num>
  <w:num w:numId="18">
    <w:abstractNumId w:val="23"/>
  </w:num>
  <w:num w:numId="19">
    <w:abstractNumId w:val="10"/>
  </w:num>
  <w:num w:numId="20">
    <w:abstractNumId w:val="5"/>
  </w:num>
  <w:num w:numId="21">
    <w:abstractNumId w:val="25"/>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4"/>
  </w:num>
  <w:num w:numId="27">
    <w:abstractNumId w:val="14"/>
  </w:num>
  <w:num w:numId="28">
    <w:abstractNumId w:val="8"/>
  </w:num>
  <w:num w:numId="29">
    <w:abstractNumId w:val="2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92"/>
    <w:rsid w:val="00005A52"/>
    <w:rsid w:val="0001016D"/>
    <w:rsid w:val="000119F8"/>
    <w:rsid w:val="000122DE"/>
    <w:rsid w:val="00026482"/>
    <w:rsid w:val="00034A97"/>
    <w:rsid w:val="00034DB3"/>
    <w:rsid w:val="000375AA"/>
    <w:rsid w:val="0004309F"/>
    <w:rsid w:val="0005224D"/>
    <w:rsid w:val="000527AC"/>
    <w:rsid w:val="00061C08"/>
    <w:rsid w:val="000663DE"/>
    <w:rsid w:val="00066556"/>
    <w:rsid w:val="0006690C"/>
    <w:rsid w:val="000708F2"/>
    <w:rsid w:val="00070907"/>
    <w:rsid w:val="00073E74"/>
    <w:rsid w:val="00077492"/>
    <w:rsid w:val="0007787D"/>
    <w:rsid w:val="000821E4"/>
    <w:rsid w:val="00084272"/>
    <w:rsid w:val="000846E5"/>
    <w:rsid w:val="00092DFC"/>
    <w:rsid w:val="00092F45"/>
    <w:rsid w:val="000A05A5"/>
    <w:rsid w:val="000B475C"/>
    <w:rsid w:val="000C501B"/>
    <w:rsid w:val="000D1D63"/>
    <w:rsid w:val="000D3AC2"/>
    <w:rsid w:val="000E3AD3"/>
    <w:rsid w:val="000E3F65"/>
    <w:rsid w:val="000E3FD5"/>
    <w:rsid w:val="000F3931"/>
    <w:rsid w:val="000F7D6A"/>
    <w:rsid w:val="00100DCD"/>
    <w:rsid w:val="00107B0D"/>
    <w:rsid w:val="00125401"/>
    <w:rsid w:val="00125943"/>
    <w:rsid w:val="00125AEE"/>
    <w:rsid w:val="001463BF"/>
    <w:rsid w:val="0014684C"/>
    <w:rsid w:val="001549CA"/>
    <w:rsid w:val="00174639"/>
    <w:rsid w:val="001803EE"/>
    <w:rsid w:val="00185E7C"/>
    <w:rsid w:val="001868DD"/>
    <w:rsid w:val="00186DB7"/>
    <w:rsid w:val="001915BE"/>
    <w:rsid w:val="001A061E"/>
    <w:rsid w:val="001B7A37"/>
    <w:rsid w:val="001C1C98"/>
    <w:rsid w:val="001C2741"/>
    <w:rsid w:val="001C41BE"/>
    <w:rsid w:val="001D7D32"/>
    <w:rsid w:val="001E0846"/>
    <w:rsid w:val="001E1A53"/>
    <w:rsid w:val="001E4305"/>
    <w:rsid w:val="001F0038"/>
    <w:rsid w:val="001F30F1"/>
    <w:rsid w:val="001F5441"/>
    <w:rsid w:val="00210AFE"/>
    <w:rsid w:val="00210B93"/>
    <w:rsid w:val="00212994"/>
    <w:rsid w:val="002132CC"/>
    <w:rsid w:val="00223E1A"/>
    <w:rsid w:val="00224586"/>
    <w:rsid w:val="00231C89"/>
    <w:rsid w:val="00234D4D"/>
    <w:rsid w:val="0024187D"/>
    <w:rsid w:val="002759A0"/>
    <w:rsid w:val="00281649"/>
    <w:rsid w:val="002875E9"/>
    <w:rsid w:val="002A2892"/>
    <w:rsid w:val="002A2F3E"/>
    <w:rsid w:val="002B05E0"/>
    <w:rsid w:val="002B562E"/>
    <w:rsid w:val="002C0038"/>
    <w:rsid w:val="002C67CC"/>
    <w:rsid w:val="002D122C"/>
    <w:rsid w:val="002D22B1"/>
    <w:rsid w:val="002E3B38"/>
    <w:rsid w:val="002F3064"/>
    <w:rsid w:val="002F468B"/>
    <w:rsid w:val="002F72C2"/>
    <w:rsid w:val="003006BF"/>
    <w:rsid w:val="003029A1"/>
    <w:rsid w:val="00310085"/>
    <w:rsid w:val="003108FE"/>
    <w:rsid w:val="00313724"/>
    <w:rsid w:val="00314ECB"/>
    <w:rsid w:val="0031614D"/>
    <w:rsid w:val="00316355"/>
    <w:rsid w:val="003166C8"/>
    <w:rsid w:val="00327977"/>
    <w:rsid w:val="003310F4"/>
    <w:rsid w:val="0034134C"/>
    <w:rsid w:val="0034259A"/>
    <w:rsid w:val="00342814"/>
    <w:rsid w:val="0034282F"/>
    <w:rsid w:val="00343AB3"/>
    <w:rsid w:val="003519C9"/>
    <w:rsid w:val="003651F5"/>
    <w:rsid w:val="003804FD"/>
    <w:rsid w:val="00382303"/>
    <w:rsid w:val="00382DA7"/>
    <w:rsid w:val="003932D0"/>
    <w:rsid w:val="003958FD"/>
    <w:rsid w:val="003A4094"/>
    <w:rsid w:val="003B5DB7"/>
    <w:rsid w:val="003B78DA"/>
    <w:rsid w:val="003C1F9B"/>
    <w:rsid w:val="003C4A8A"/>
    <w:rsid w:val="003D19ED"/>
    <w:rsid w:val="003D4AE2"/>
    <w:rsid w:val="003E3ECB"/>
    <w:rsid w:val="003E49DC"/>
    <w:rsid w:val="003F14A7"/>
    <w:rsid w:val="003F6640"/>
    <w:rsid w:val="00410E19"/>
    <w:rsid w:val="0041445E"/>
    <w:rsid w:val="00415B38"/>
    <w:rsid w:val="004212F7"/>
    <w:rsid w:val="004245A2"/>
    <w:rsid w:val="00433E7D"/>
    <w:rsid w:val="00440F40"/>
    <w:rsid w:val="00442272"/>
    <w:rsid w:val="0044248F"/>
    <w:rsid w:val="00450DF8"/>
    <w:rsid w:val="00451765"/>
    <w:rsid w:val="00461978"/>
    <w:rsid w:val="00463E3F"/>
    <w:rsid w:val="00464C2F"/>
    <w:rsid w:val="00474BB9"/>
    <w:rsid w:val="0048653B"/>
    <w:rsid w:val="00494934"/>
    <w:rsid w:val="004A182B"/>
    <w:rsid w:val="004A3316"/>
    <w:rsid w:val="004B32A8"/>
    <w:rsid w:val="004B7512"/>
    <w:rsid w:val="004C2B93"/>
    <w:rsid w:val="004C7BDF"/>
    <w:rsid w:val="004C7E02"/>
    <w:rsid w:val="004D0C87"/>
    <w:rsid w:val="004D32DB"/>
    <w:rsid w:val="004D59C5"/>
    <w:rsid w:val="004F7287"/>
    <w:rsid w:val="0050096E"/>
    <w:rsid w:val="005048FC"/>
    <w:rsid w:val="005157C3"/>
    <w:rsid w:val="0051648E"/>
    <w:rsid w:val="00517F75"/>
    <w:rsid w:val="00525E1D"/>
    <w:rsid w:val="0053282A"/>
    <w:rsid w:val="0053301D"/>
    <w:rsid w:val="0053678C"/>
    <w:rsid w:val="0054204E"/>
    <w:rsid w:val="005463D0"/>
    <w:rsid w:val="00566664"/>
    <w:rsid w:val="00571D4A"/>
    <w:rsid w:val="00577840"/>
    <w:rsid w:val="00580DDA"/>
    <w:rsid w:val="00581AC4"/>
    <w:rsid w:val="005823D5"/>
    <w:rsid w:val="0059263D"/>
    <w:rsid w:val="005B2429"/>
    <w:rsid w:val="005B4EDE"/>
    <w:rsid w:val="005B6153"/>
    <w:rsid w:val="005B676E"/>
    <w:rsid w:val="005B7052"/>
    <w:rsid w:val="005B735B"/>
    <w:rsid w:val="005C1E8F"/>
    <w:rsid w:val="005C36C0"/>
    <w:rsid w:val="005C41D9"/>
    <w:rsid w:val="005D0C03"/>
    <w:rsid w:val="005D2C8C"/>
    <w:rsid w:val="005D392B"/>
    <w:rsid w:val="005F44C8"/>
    <w:rsid w:val="0060368E"/>
    <w:rsid w:val="0060696E"/>
    <w:rsid w:val="00612A5C"/>
    <w:rsid w:val="00613425"/>
    <w:rsid w:val="00616E37"/>
    <w:rsid w:val="00626518"/>
    <w:rsid w:val="00633490"/>
    <w:rsid w:val="00640955"/>
    <w:rsid w:val="006500D7"/>
    <w:rsid w:val="00651CD6"/>
    <w:rsid w:val="00655342"/>
    <w:rsid w:val="00660900"/>
    <w:rsid w:val="00661103"/>
    <w:rsid w:val="00662A0F"/>
    <w:rsid w:val="00666AF1"/>
    <w:rsid w:val="00667751"/>
    <w:rsid w:val="00670C69"/>
    <w:rsid w:val="00672CDB"/>
    <w:rsid w:val="00674553"/>
    <w:rsid w:val="00681E6B"/>
    <w:rsid w:val="006839BB"/>
    <w:rsid w:val="00697FC6"/>
    <w:rsid w:val="006A4D8E"/>
    <w:rsid w:val="006A5C9B"/>
    <w:rsid w:val="006B2D54"/>
    <w:rsid w:val="006C3FF5"/>
    <w:rsid w:val="006D2368"/>
    <w:rsid w:val="006D5A48"/>
    <w:rsid w:val="006E016B"/>
    <w:rsid w:val="006F5A47"/>
    <w:rsid w:val="0070216E"/>
    <w:rsid w:val="00703A3E"/>
    <w:rsid w:val="00713EFE"/>
    <w:rsid w:val="00720F46"/>
    <w:rsid w:val="00733672"/>
    <w:rsid w:val="00735825"/>
    <w:rsid w:val="0073616D"/>
    <w:rsid w:val="00753340"/>
    <w:rsid w:val="007559FD"/>
    <w:rsid w:val="007660CC"/>
    <w:rsid w:val="00776D8D"/>
    <w:rsid w:val="00777E73"/>
    <w:rsid w:val="0078187E"/>
    <w:rsid w:val="00782104"/>
    <w:rsid w:val="007847DF"/>
    <w:rsid w:val="00787C24"/>
    <w:rsid w:val="0079136B"/>
    <w:rsid w:val="0079153C"/>
    <w:rsid w:val="007A4AFF"/>
    <w:rsid w:val="007A590A"/>
    <w:rsid w:val="007B3C66"/>
    <w:rsid w:val="007B7C38"/>
    <w:rsid w:val="007C0D0D"/>
    <w:rsid w:val="007D08D1"/>
    <w:rsid w:val="007D4188"/>
    <w:rsid w:val="007D4FAF"/>
    <w:rsid w:val="007E0077"/>
    <w:rsid w:val="007E25B9"/>
    <w:rsid w:val="007F419B"/>
    <w:rsid w:val="007F5F45"/>
    <w:rsid w:val="007F6515"/>
    <w:rsid w:val="00801E50"/>
    <w:rsid w:val="008020A7"/>
    <w:rsid w:val="00810E14"/>
    <w:rsid w:val="00817D7A"/>
    <w:rsid w:val="00821E7C"/>
    <w:rsid w:val="008442AF"/>
    <w:rsid w:val="00844D44"/>
    <w:rsid w:val="008457D0"/>
    <w:rsid w:val="00846865"/>
    <w:rsid w:val="00847987"/>
    <w:rsid w:val="00854BFC"/>
    <w:rsid w:val="008564D7"/>
    <w:rsid w:val="00865EC3"/>
    <w:rsid w:val="008665FF"/>
    <w:rsid w:val="0087244F"/>
    <w:rsid w:val="00876AC6"/>
    <w:rsid w:val="0088517B"/>
    <w:rsid w:val="0088633E"/>
    <w:rsid w:val="008922A1"/>
    <w:rsid w:val="008A5C17"/>
    <w:rsid w:val="008B64FA"/>
    <w:rsid w:val="008C2C76"/>
    <w:rsid w:val="008C34B3"/>
    <w:rsid w:val="008C398E"/>
    <w:rsid w:val="008C3B28"/>
    <w:rsid w:val="008D0B84"/>
    <w:rsid w:val="008D12FA"/>
    <w:rsid w:val="008D461D"/>
    <w:rsid w:val="008E1EA2"/>
    <w:rsid w:val="008E4B4C"/>
    <w:rsid w:val="008E61FD"/>
    <w:rsid w:val="008F3660"/>
    <w:rsid w:val="0090115E"/>
    <w:rsid w:val="0090612B"/>
    <w:rsid w:val="00917549"/>
    <w:rsid w:val="0092188C"/>
    <w:rsid w:val="00925253"/>
    <w:rsid w:val="00942A1F"/>
    <w:rsid w:val="009433AE"/>
    <w:rsid w:val="00962A17"/>
    <w:rsid w:val="00984B5E"/>
    <w:rsid w:val="009853AF"/>
    <w:rsid w:val="0098607C"/>
    <w:rsid w:val="00992C20"/>
    <w:rsid w:val="00992F2A"/>
    <w:rsid w:val="0099792E"/>
    <w:rsid w:val="009A5DED"/>
    <w:rsid w:val="009B2629"/>
    <w:rsid w:val="009C0BB4"/>
    <w:rsid w:val="009C3377"/>
    <w:rsid w:val="009D62C4"/>
    <w:rsid w:val="009E7511"/>
    <w:rsid w:val="00A126B8"/>
    <w:rsid w:val="00A156DA"/>
    <w:rsid w:val="00A16BDB"/>
    <w:rsid w:val="00A26E92"/>
    <w:rsid w:val="00A324B9"/>
    <w:rsid w:val="00A40D6C"/>
    <w:rsid w:val="00A42DC3"/>
    <w:rsid w:val="00A500AF"/>
    <w:rsid w:val="00A5296F"/>
    <w:rsid w:val="00A67F1E"/>
    <w:rsid w:val="00A72EF6"/>
    <w:rsid w:val="00A77F31"/>
    <w:rsid w:val="00A81931"/>
    <w:rsid w:val="00AA3F5A"/>
    <w:rsid w:val="00AB787A"/>
    <w:rsid w:val="00AC014F"/>
    <w:rsid w:val="00AC2772"/>
    <w:rsid w:val="00AC5D48"/>
    <w:rsid w:val="00AC7315"/>
    <w:rsid w:val="00AD26A1"/>
    <w:rsid w:val="00AE3569"/>
    <w:rsid w:val="00AE56BF"/>
    <w:rsid w:val="00AE5B9B"/>
    <w:rsid w:val="00AF5768"/>
    <w:rsid w:val="00AF6DFA"/>
    <w:rsid w:val="00B032D1"/>
    <w:rsid w:val="00B034D1"/>
    <w:rsid w:val="00B156D9"/>
    <w:rsid w:val="00B16B80"/>
    <w:rsid w:val="00B220C4"/>
    <w:rsid w:val="00B24D4A"/>
    <w:rsid w:val="00B254C3"/>
    <w:rsid w:val="00B26491"/>
    <w:rsid w:val="00B26524"/>
    <w:rsid w:val="00B3064F"/>
    <w:rsid w:val="00B30F2A"/>
    <w:rsid w:val="00B327C2"/>
    <w:rsid w:val="00B33559"/>
    <w:rsid w:val="00B35830"/>
    <w:rsid w:val="00B3702C"/>
    <w:rsid w:val="00B454F4"/>
    <w:rsid w:val="00B5268D"/>
    <w:rsid w:val="00B53169"/>
    <w:rsid w:val="00B55D2C"/>
    <w:rsid w:val="00B61B66"/>
    <w:rsid w:val="00B6279B"/>
    <w:rsid w:val="00B635F5"/>
    <w:rsid w:val="00B64E24"/>
    <w:rsid w:val="00B66465"/>
    <w:rsid w:val="00B67253"/>
    <w:rsid w:val="00B8300B"/>
    <w:rsid w:val="00B83B8B"/>
    <w:rsid w:val="00B86B7C"/>
    <w:rsid w:val="00B950E9"/>
    <w:rsid w:val="00B97EE2"/>
    <w:rsid w:val="00BA09C0"/>
    <w:rsid w:val="00BA736B"/>
    <w:rsid w:val="00BA7F99"/>
    <w:rsid w:val="00BC4303"/>
    <w:rsid w:val="00BD733C"/>
    <w:rsid w:val="00BE1514"/>
    <w:rsid w:val="00BE45E8"/>
    <w:rsid w:val="00BE5C40"/>
    <w:rsid w:val="00BE736C"/>
    <w:rsid w:val="00BF0D15"/>
    <w:rsid w:val="00BF1F3E"/>
    <w:rsid w:val="00BF601A"/>
    <w:rsid w:val="00BF7AFA"/>
    <w:rsid w:val="00C06C21"/>
    <w:rsid w:val="00C2195A"/>
    <w:rsid w:val="00C23C1A"/>
    <w:rsid w:val="00C2439B"/>
    <w:rsid w:val="00C3042F"/>
    <w:rsid w:val="00C31A52"/>
    <w:rsid w:val="00C33173"/>
    <w:rsid w:val="00C3508F"/>
    <w:rsid w:val="00C35658"/>
    <w:rsid w:val="00C41C41"/>
    <w:rsid w:val="00C42F7B"/>
    <w:rsid w:val="00C53CB4"/>
    <w:rsid w:val="00C66B21"/>
    <w:rsid w:val="00C75407"/>
    <w:rsid w:val="00C92F1B"/>
    <w:rsid w:val="00C95CE1"/>
    <w:rsid w:val="00CC1EC6"/>
    <w:rsid w:val="00CD22C0"/>
    <w:rsid w:val="00CF0D19"/>
    <w:rsid w:val="00CF39A6"/>
    <w:rsid w:val="00D04F98"/>
    <w:rsid w:val="00D12BB8"/>
    <w:rsid w:val="00D14097"/>
    <w:rsid w:val="00D14EFE"/>
    <w:rsid w:val="00D16390"/>
    <w:rsid w:val="00D20C8E"/>
    <w:rsid w:val="00D20D75"/>
    <w:rsid w:val="00D212BE"/>
    <w:rsid w:val="00D21A9E"/>
    <w:rsid w:val="00D23060"/>
    <w:rsid w:val="00D26B4A"/>
    <w:rsid w:val="00D309D6"/>
    <w:rsid w:val="00D33F68"/>
    <w:rsid w:val="00D41588"/>
    <w:rsid w:val="00D44611"/>
    <w:rsid w:val="00D50086"/>
    <w:rsid w:val="00D66599"/>
    <w:rsid w:val="00D728F5"/>
    <w:rsid w:val="00D8609A"/>
    <w:rsid w:val="00D9262C"/>
    <w:rsid w:val="00D972CF"/>
    <w:rsid w:val="00DA1DBF"/>
    <w:rsid w:val="00DA4099"/>
    <w:rsid w:val="00DA43F0"/>
    <w:rsid w:val="00DB4591"/>
    <w:rsid w:val="00DB4FCA"/>
    <w:rsid w:val="00DC2EC6"/>
    <w:rsid w:val="00DC783D"/>
    <w:rsid w:val="00DD0DE2"/>
    <w:rsid w:val="00DE184B"/>
    <w:rsid w:val="00DE7ED9"/>
    <w:rsid w:val="00DF1791"/>
    <w:rsid w:val="00DF2792"/>
    <w:rsid w:val="00DF2D45"/>
    <w:rsid w:val="00DF44B3"/>
    <w:rsid w:val="00DF79C4"/>
    <w:rsid w:val="00E01D5C"/>
    <w:rsid w:val="00E054D4"/>
    <w:rsid w:val="00E117C9"/>
    <w:rsid w:val="00E20853"/>
    <w:rsid w:val="00E25925"/>
    <w:rsid w:val="00E423B9"/>
    <w:rsid w:val="00E46C6E"/>
    <w:rsid w:val="00E54FF3"/>
    <w:rsid w:val="00E56E1A"/>
    <w:rsid w:val="00E6730B"/>
    <w:rsid w:val="00E74AF4"/>
    <w:rsid w:val="00E7675B"/>
    <w:rsid w:val="00E83541"/>
    <w:rsid w:val="00E876C2"/>
    <w:rsid w:val="00E94370"/>
    <w:rsid w:val="00EA4089"/>
    <w:rsid w:val="00EB4491"/>
    <w:rsid w:val="00EB5320"/>
    <w:rsid w:val="00EB7946"/>
    <w:rsid w:val="00EC0787"/>
    <w:rsid w:val="00ED4253"/>
    <w:rsid w:val="00EE16D9"/>
    <w:rsid w:val="00EE5E52"/>
    <w:rsid w:val="00EF673D"/>
    <w:rsid w:val="00EF75C4"/>
    <w:rsid w:val="00F1157B"/>
    <w:rsid w:val="00F1466E"/>
    <w:rsid w:val="00F328B5"/>
    <w:rsid w:val="00F3502B"/>
    <w:rsid w:val="00F35891"/>
    <w:rsid w:val="00F4033F"/>
    <w:rsid w:val="00F415D6"/>
    <w:rsid w:val="00F564B7"/>
    <w:rsid w:val="00F61CF7"/>
    <w:rsid w:val="00F75E8B"/>
    <w:rsid w:val="00F8175D"/>
    <w:rsid w:val="00F81F5C"/>
    <w:rsid w:val="00F83032"/>
    <w:rsid w:val="00F85570"/>
    <w:rsid w:val="00FA2A77"/>
    <w:rsid w:val="00FB18B1"/>
    <w:rsid w:val="00FB20A1"/>
    <w:rsid w:val="00FB3DE8"/>
    <w:rsid w:val="00FC206B"/>
    <w:rsid w:val="00FC588F"/>
    <w:rsid w:val="00FC799E"/>
    <w:rsid w:val="00FE21DA"/>
    <w:rsid w:val="00FE5569"/>
    <w:rsid w:val="00FF2D97"/>
    <w:rsid w:val="00FF3930"/>
    <w:rsid w:val="00FF512A"/>
    <w:rsid w:val="00FF54C5"/>
    <w:rsid w:val="00FF65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E2E03A"/>
  <w15:chartTrackingRefBased/>
  <w15:docId w15:val="{1E4C31ED-E6F0-42C6-8294-6FD84FDC0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E50"/>
    <w:pPr>
      <w:spacing w:afterLines="80" w:after="80" w:line="300" w:lineRule="auto"/>
      <w:jc w:val="both"/>
    </w:pPr>
    <w:rPr>
      <w:rFonts w:ascii="Arial" w:hAnsi="Arial" w:cs="Arial"/>
      <w:noProof/>
      <w:snapToGrid w:val="0"/>
      <w:lang w:eastAsia="en-US"/>
    </w:rPr>
  </w:style>
  <w:style w:type="paragraph" w:styleId="Nadpis1">
    <w:name w:val="heading 1"/>
    <w:basedOn w:val="Normln"/>
    <w:next w:val="Normln"/>
    <w:qFormat/>
    <w:pPr>
      <w:keepNext/>
      <w:spacing w:before="240" w:after="60"/>
      <w:outlineLvl w:val="0"/>
    </w:pPr>
    <w:rPr>
      <w:b/>
      <w:bCs/>
      <w:kern w:val="28"/>
      <w:sz w:val="28"/>
      <w:szCs w:val="28"/>
      <w:lang w:val="sk-SK"/>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spacing w:line="240" w:lineRule="atLeast"/>
      <w:outlineLvl w:val="2"/>
    </w:pPr>
    <w:rPr>
      <w:b/>
      <w:bCs/>
      <w:color w:val="000000"/>
      <w:lang w:val="en-GB"/>
    </w:rPr>
  </w:style>
  <w:style w:type="paragraph" w:styleId="Nadpis4">
    <w:name w:val="heading 4"/>
    <w:basedOn w:val="Normln"/>
    <w:next w:val="Normln"/>
    <w:qFormat/>
    <w:pPr>
      <w:keepNext/>
      <w:outlineLvl w:val="3"/>
    </w:pPr>
    <w:rPr>
      <w:b/>
      <w:bCs/>
      <w:sz w:val="24"/>
      <w:szCs w:val="24"/>
      <w:lang w:val="en-GB"/>
    </w:rPr>
  </w:style>
  <w:style w:type="paragraph" w:styleId="Nadpis5">
    <w:name w:val="heading 5"/>
    <w:basedOn w:val="Normln"/>
    <w:next w:val="Normln"/>
    <w:qFormat/>
    <w:pPr>
      <w:keepNext/>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semiHidden/>
    <w:pPr>
      <w:tabs>
        <w:tab w:val="center" w:pos="4153"/>
        <w:tab w:val="right" w:pos="8306"/>
      </w:tabs>
    </w:pPr>
  </w:style>
  <w:style w:type="paragraph" w:styleId="Zpat">
    <w:name w:val="footer"/>
    <w:basedOn w:val="Normln"/>
    <w:semiHidden/>
    <w:pPr>
      <w:tabs>
        <w:tab w:val="center" w:pos="4153"/>
        <w:tab w:val="right" w:pos="8306"/>
      </w:tabs>
    </w:pPr>
  </w:style>
  <w:style w:type="paragraph" w:customStyle="1" w:styleId="ABLOCKPARA">
    <w:name w:val="A BLOCK PARA"/>
    <w:basedOn w:val="Normln"/>
    <w:rPr>
      <w:lang w:val="sk-SK"/>
    </w:rPr>
  </w:style>
  <w:style w:type="character" w:styleId="Hypertextovodkaz">
    <w:name w:val="Hyperlink"/>
    <w:uiPriority w:val="99"/>
    <w:rPr>
      <w:color w:val="0000FF"/>
      <w:u w:val="single"/>
    </w:rPr>
  </w:style>
  <w:style w:type="paragraph" w:styleId="Zkladntext">
    <w:name w:val="Body Text"/>
    <w:basedOn w:val="Normln"/>
    <w:semiHidden/>
    <w:rPr>
      <w:lang w:val="sk-SK"/>
    </w:rPr>
  </w:style>
  <w:style w:type="paragraph" w:customStyle="1" w:styleId="FormtovanvHTML1">
    <w:name w:val="Formátovaný v HTML1"/>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hAnsi="Times New Roman"/>
    </w:rPr>
  </w:style>
  <w:style w:type="paragraph" w:styleId="Zkladntextodsazen">
    <w:name w:val="Body Text Indent"/>
    <w:basedOn w:val="Normln"/>
    <w:semiHidden/>
    <w:rPr>
      <w:rFonts w:ascii="Times New Roman" w:hAnsi="Times New Roman"/>
      <w:sz w:val="24"/>
      <w:szCs w:val="24"/>
    </w:rPr>
  </w:style>
  <w:style w:type="character" w:customStyle="1" w:styleId="bod1">
    <w:name w:val="bod1"/>
    <w:rPr>
      <w:rFonts w:ascii="Arial" w:hAnsi="Arial" w:cs="Arial"/>
      <w:sz w:val="18"/>
      <w:szCs w:val="18"/>
    </w:rPr>
  </w:style>
  <w:style w:type="paragraph" w:styleId="Normlnweb">
    <w:name w:val="Normal (Web)"/>
    <w:basedOn w:val="Normln"/>
    <w:semiHidden/>
    <w:pPr>
      <w:spacing w:before="100" w:beforeAutospacing="1" w:after="100" w:afterAutospacing="1"/>
    </w:pPr>
    <w:rPr>
      <w:sz w:val="18"/>
      <w:szCs w:val="18"/>
      <w:lang w:val="en-GB"/>
    </w:rPr>
  </w:style>
  <w:style w:type="character" w:styleId="Siln">
    <w:name w:val="Strong"/>
    <w:uiPriority w:val="22"/>
    <w:qFormat/>
    <w:rPr>
      <w:b/>
      <w:bCs/>
    </w:rPr>
  </w:style>
  <w:style w:type="paragraph" w:customStyle="1" w:styleId="Textbubliny1">
    <w:name w:val="Text bubliny1"/>
    <w:basedOn w:val="Normln"/>
    <w:rPr>
      <w:rFonts w:ascii="Times New Roman" w:hAnsi="Times New Roman"/>
      <w:sz w:val="16"/>
      <w:szCs w:val="16"/>
    </w:rPr>
  </w:style>
  <w:style w:type="character" w:styleId="Odkaznakoment">
    <w:name w:val="annotation reference"/>
    <w:semiHidden/>
    <w:rPr>
      <w:sz w:val="16"/>
      <w:szCs w:val="16"/>
    </w:rPr>
  </w:style>
  <w:style w:type="paragraph" w:styleId="Textkomente">
    <w:name w:val="annotation text"/>
    <w:basedOn w:val="Normln"/>
    <w:link w:val="TextkomenteChar"/>
    <w:uiPriority w:val="99"/>
  </w:style>
  <w:style w:type="paragraph" w:customStyle="1" w:styleId="Pedmtkomente1">
    <w:name w:val="Předmět komentáře1"/>
    <w:basedOn w:val="Textkomente"/>
    <w:next w:val="Textkomente"/>
    <w:rPr>
      <w:b/>
      <w:bCs/>
    </w:rPr>
  </w:style>
  <w:style w:type="paragraph" w:styleId="Prosttext">
    <w:name w:val="Plain Text"/>
    <w:basedOn w:val="Normln"/>
    <w:semiHidden/>
    <w:rPr>
      <w:rFonts w:ascii="Courier New" w:hAnsi="Courier New" w:cs="Courier New"/>
    </w:rPr>
  </w:style>
  <w:style w:type="character" w:styleId="Sledovanodkaz">
    <w:name w:val="FollowedHyperlink"/>
    <w:semiHidden/>
    <w:rPr>
      <w:color w:val="800080"/>
      <w:u w:val="single"/>
    </w:rPr>
  </w:style>
  <w:style w:type="paragraph" w:customStyle="1" w:styleId="Odstavecseseznamem1">
    <w:name w:val="Odstavec se seznamem1"/>
    <w:basedOn w:val="Normln"/>
    <w:pPr>
      <w:spacing w:after="200" w:line="276" w:lineRule="auto"/>
      <w:ind w:left="720"/>
    </w:pPr>
    <w:rPr>
      <w:rFonts w:ascii="Calibri" w:hAnsi="Calibri"/>
    </w:rPr>
  </w:style>
  <w:style w:type="paragraph" w:customStyle="1" w:styleId="COVNormal">
    <w:name w:val="COV_Normal"/>
    <w:basedOn w:val="Normln"/>
    <w:pPr>
      <w:spacing w:before="120" w:after="120"/>
      <w:ind w:left="2279"/>
    </w:pPr>
  </w:style>
  <w:style w:type="paragraph" w:customStyle="1" w:styleId="default">
    <w:name w:val="default"/>
    <w:basedOn w:val="Normln"/>
    <w:pPr>
      <w:autoSpaceDE w:val="0"/>
      <w:autoSpaceDN w:val="0"/>
    </w:pPr>
    <w:rPr>
      <w:rFonts w:ascii="Times New Roman" w:hAnsi="Times New Roman"/>
      <w:color w:val="000000"/>
      <w:sz w:val="24"/>
      <w:szCs w:val="24"/>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Textbubliny">
    <w:name w:val="Balloon Text"/>
    <w:basedOn w:val="Normln"/>
    <w:link w:val="TextbublinyChar"/>
    <w:uiPriority w:val="99"/>
    <w:semiHidden/>
    <w:unhideWhenUsed/>
    <w:rsid w:val="00E56E1A"/>
    <w:rPr>
      <w:rFonts w:ascii="Tahoma" w:hAnsi="Tahoma" w:cs="Tahoma"/>
      <w:sz w:val="16"/>
      <w:szCs w:val="16"/>
    </w:rPr>
  </w:style>
  <w:style w:type="character" w:customStyle="1" w:styleId="TextbublinyChar">
    <w:name w:val="Text bubliny Char"/>
    <w:link w:val="Textbubliny"/>
    <w:uiPriority w:val="99"/>
    <w:semiHidden/>
    <w:rsid w:val="00E56E1A"/>
    <w:rPr>
      <w:rFonts w:ascii="Tahoma" w:hAnsi="Tahoma" w:cs="Tahoma"/>
      <w:snapToGrid w:val="0"/>
      <w:sz w:val="16"/>
      <w:szCs w:val="16"/>
      <w:lang w:val="en-US" w:eastAsia="en-US"/>
    </w:rPr>
  </w:style>
  <w:style w:type="paragraph" w:styleId="Pedmtkomente">
    <w:name w:val="annotation subject"/>
    <w:basedOn w:val="Textkomente"/>
    <w:next w:val="Textkomente"/>
    <w:link w:val="PedmtkomenteChar"/>
    <w:uiPriority w:val="99"/>
    <w:semiHidden/>
    <w:unhideWhenUsed/>
    <w:rsid w:val="00440F40"/>
    <w:rPr>
      <w:b/>
      <w:bCs/>
    </w:rPr>
  </w:style>
  <w:style w:type="character" w:customStyle="1" w:styleId="TextkomenteChar">
    <w:name w:val="Text komentáře Char"/>
    <w:link w:val="Textkomente"/>
    <w:uiPriority w:val="99"/>
    <w:rsid w:val="00440F40"/>
    <w:rPr>
      <w:rFonts w:ascii="Book Antiqua" w:hAnsi="Book Antiqua"/>
      <w:snapToGrid w:val="0"/>
      <w:lang w:val="en-US" w:eastAsia="en-US"/>
    </w:rPr>
  </w:style>
  <w:style w:type="character" w:customStyle="1" w:styleId="PedmtkomenteChar">
    <w:name w:val="Předmět komentáře Char"/>
    <w:link w:val="Pedmtkomente"/>
    <w:rsid w:val="00440F40"/>
    <w:rPr>
      <w:rFonts w:ascii="Book Antiqua" w:hAnsi="Book Antiqua"/>
      <w:snapToGrid w:val="0"/>
      <w:lang w:val="en-US" w:eastAsia="en-US"/>
    </w:rPr>
  </w:style>
  <w:style w:type="paragraph" w:styleId="Odstavecseseznamem">
    <w:name w:val="List Paragraph"/>
    <w:basedOn w:val="Normln"/>
    <w:uiPriority w:val="34"/>
    <w:qFormat/>
    <w:rsid w:val="00B83B8B"/>
    <w:pPr>
      <w:ind w:left="720"/>
      <w:contextualSpacing/>
    </w:pPr>
  </w:style>
  <w:style w:type="paragraph" w:styleId="Revize">
    <w:name w:val="Revision"/>
    <w:hidden/>
    <w:uiPriority w:val="99"/>
    <w:semiHidden/>
    <w:rsid w:val="007660CC"/>
    <w:rPr>
      <w:rFonts w:ascii="Book Antiqua" w:hAnsi="Book Antiqua"/>
      <w:snapToGrid w:val="0"/>
      <w:sz w:val="22"/>
      <w:szCs w:val="22"/>
      <w:lang w:val="en-US" w:eastAsia="en-US"/>
    </w:rPr>
  </w:style>
  <w:style w:type="paragraph" w:styleId="Textpoznpodarou">
    <w:name w:val="footnote text"/>
    <w:basedOn w:val="Normln"/>
    <w:link w:val="TextpoznpodarouChar"/>
    <w:uiPriority w:val="99"/>
    <w:unhideWhenUsed/>
    <w:rsid w:val="00034DB3"/>
    <w:rPr>
      <w:rFonts w:ascii="Calibri" w:eastAsia="Calibri" w:hAnsi="Calibri"/>
      <w:snapToGrid/>
      <w:lang w:eastAsia="en-GB"/>
    </w:rPr>
  </w:style>
  <w:style w:type="character" w:customStyle="1" w:styleId="TextpoznpodarouChar">
    <w:name w:val="Text pozn. pod čarou Char"/>
    <w:link w:val="Textpoznpodarou"/>
    <w:uiPriority w:val="99"/>
    <w:rsid w:val="00034DB3"/>
    <w:rPr>
      <w:rFonts w:ascii="Calibri" w:eastAsia="Calibri" w:hAnsi="Calibri"/>
      <w:lang w:val="en-US" w:eastAsia="en-GB"/>
    </w:rPr>
  </w:style>
  <w:style w:type="character" w:styleId="Znakapoznpodarou">
    <w:name w:val="footnote reference"/>
    <w:uiPriority w:val="99"/>
    <w:semiHidden/>
    <w:unhideWhenUsed/>
    <w:rsid w:val="00034DB3"/>
    <w:rPr>
      <w:vertAlign w:val="superscript"/>
    </w:rPr>
  </w:style>
  <w:style w:type="character" w:customStyle="1" w:styleId="ZhlavChar">
    <w:name w:val="Záhlaví Char"/>
    <w:link w:val="Zhlav"/>
    <w:semiHidden/>
    <w:rsid w:val="003006BF"/>
    <w:rPr>
      <w:rFonts w:ascii="Book Antiqua" w:hAnsi="Book Antiqua"/>
      <w:snapToGrid w:val="0"/>
      <w:sz w:val="22"/>
      <w:szCs w:val="22"/>
      <w:lang w:val="en-US" w:eastAsia="en-US"/>
    </w:rPr>
  </w:style>
  <w:style w:type="paragraph" w:styleId="Bezmezer">
    <w:name w:val="No Spacing"/>
    <w:uiPriority w:val="1"/>
    <w:qFormat/>
    <w:rsid w:val="0098607C"/>
    <w:pPr>
      <w:spacing w:afterLines="80"/>
      <w:jc w:val="both"/>
    </w:pPr>
    <w:rPr>
      <w:rFonts w:ascii="Arial" w:hAnsi="Arial" w:cs="Arial"/>
      <w:noProof/>
      <w:snapToGrid w:val="0"/>
      <w:lang w:eastAsia="en-US"/>
    </w:rPr>
  </w:style>
  <w:style w:type="character" w:styleId="Nevyeenzmnka">
    <w:name w:val="Unresolved Mention"/>
    <w:uiPriority w:val="99"/>
    <w:semiHidden/>
    <w:unhideWhenUsed/>
    <w:rsid w:val="00077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9099">
      <w:bodyDiv w:val="1"/>
      <w:marLeft w:val="0"/>
      <w:marRight w:val="0"/>
      <w:marTop w:val="0"/>
      <w:marBottom w:val="0"/>
      <w:divBdr>
        <w:top w:val="none" w:sz="0" w:space="0" w:color="auto"/>
        <w:left w:val="none" w:sz="0" w:space="0" w:color="auto"/>
        <w:bottom w:val="none" w:sz="0" w:space="0" w:color="auto"/>
        <w:right w:val="none" w:sz="0" w:space="0" w:color="auto"/>
      </w:divBdr>
    </w:div>
    <w:div w:id="171721796">
      <w:bodyDiv w:val="1"/>
      <w:marLeft w:val="0"/>
      <w:marRight w:val="0"/>
      <w:marTop w:val="0"/>
      <w:marBottom w:val="0"/>
      <w:divBdr>
        <w:top w:val="none" w:sz="0" w:space="0" w:color="auto"/>
        <w:left w:val="none" w:sz="0" w:space="0" w:color="auto"/>
        <w:bottom w:val="none" w:sz="0" w:space="0" w:color="auto"/>
        <w:right w:val="none" w:sz="0" w:space="0" w:color="auto"/>
      </w:divBdr>
    </w:div>
    <w:div w:id="176776745">
      <w:bodyDiv w:val="1"/>
      <w:marLeft w:val="0"/>
      <w:marRight w:val="0"/>
      <w:marTop w:val="0"/>
      <w:marBottom w:val="0"/>
      <w:divBdr>
        <w:top w:val="none" w:sz="0" w:space="0" w:color="auto"/>
        <w:left w:val="none" w:sz="0" w:space="0" w:color="auto"/>
        <w:bottom w:val="none" w:sz="0" w:space="0" w:color="auto"/>
        <w:right w:val="none" w:sz="0" w:space="0" w:color="auto"/>
      </w:divBdr>
    </w:div>
    <w:div w:id="309946754">
      <w:bodyDiv w:val="1"/>
      <w:marLeft w:val="0"/>
      <w:marRight w:val="0"/>
      <w:marTop w:val="0"/>
      <w:marBottom w:val="0"/>
      <w:divBdr>
        <w:top w:val="none" w:sz="0" w:space="0" w:color="auto"/>
        <w:left w:val="none" w:sz="0" w:space="0" w:color="auto"/>
        <w:bottom w:val="none" w:sz="0" w:space="0" w:color="auto"/>
        <w:right w:val="none" w:sz="0" w:space="0" w:color="auto"/>
      </w:divBdr>
    </w:div>
    <w:div w:id="447745254">
      <w:bodyDiv w:val="1"/>
      <w:marLeft w:val="0"/>
      <w:marRight w:val="0"/>
      <w:marTop w:val="0"/>
      <w:marBottom w:val="0"/>
      <w:divBdr>
        <w:top w:val="none" w:sz="0" w:space="0" w:color="auto"/>
        <w:left w:val="none" w:sz="0" w:space="0" w:color="auto"/>
        <w:bottom w:val="none" w:sz="0" w:space="0" w:color="auto"/>
        <w:right w:val="none" w:sz="0" w:space="0" w:color="auto"/>
      </w:divBdr>
      <w:divsChild>
        <w:div w:id="277756739">
          <w:marLeft w:val="0"/>
          <w:marRight w:val="0"/>
          <w:marTop w:val="0"/>
          <w:marBottom w:val="0"/>
          <w:divBdr>
            <w:top w:val="none" w:sz="0" w:space="0" w:color="auto"/>
            <w:left w:val="none" w:sz="0" w:space="0" w:color="auto"/>
            <w:bottom w:val="none" w:sz="0" w:space="0" w:color="auto"/>
            <w:right w:val="none" w:sz="0" w:space="0" w:color="auto"/>
          </w:divBdr>
        </w:div>
        <w:div w:id="1323392250">
          <w:marLeft w:val="0"/>
          <w:marRight w:val="0"/>
          <w:marTop w:val="0"/>
          <w:marBottom w:val="0"/>
          <w:divBdr>
            <w:top w:val="none" w:sz="0" w:space="0" w:color="auto"/>
            <w:left w:val="none" w:sz="0" w:space="0" w:color="auto"/>
            <w:bottom w:val="none" w:sz="0" w:space="0" w:color="auto"/>
            <w:right w:val="none" w:sz="0" w:space="0" w:color="auto"/>
          </w:divBdr>
        </w:div>
      </w:divsChild>
    </w:div>
    <w:div w:id="576595161">
      <w:bodyDiv w:val="1"/>
      <w:marLeft w:val="0"/>
      <w:marRight w:val="0"/>
      <w:marTop w:val="0"/>
      <w:marBottom w:val="0"/>
      <w:divBdr>
        <w:top w:val="none" w:sz="0" w:space="0" w:color="auto"/>
        <w:left w:val="none" w:sz="0" w:space="0" w:color="auto"/>
        <w:bottom w:val="none" w:sz="0" w:space="0" w:color="auto"/>
        <w:right w:val="none" w:sz="0" w:space="0" w:color="auto"/>
      </w:divBdr>
    </w:div>
    <w:div w:id="690229351">
      <w:bodyDiv w:val="1"/>
      <w:marLeft w:val="0"/>
      <w:marRight w:val="0"/>
      <w:marTop w:val="0"/>
      <w:marBottom w:val="0"/>
      <w:divBdr>
        <w:top w:val="none" w:sz="0" w:space="0" w:color="auto"/>
        <w:left w:val="none" w:sz="0" w:space="0" w:color="auto"/>
        <w:bottom w:val="none" w:sz="0" w:space="0" w:color="auto"/>
        <w:right w:val="none" w:sz="0" w:space="0" w:color="auto"/>
      </w:divBdr>
    </w:div>
    <w:div w:id="706759425">
      <w:bodyDiv w:val="1"/>
      <w:marLeft w:val="0"/>
      <w:marRight w:val="0"/>
      <w:marTop w:val="0"/>
      <w:marBottom w:val="0"/>
      <w:divBdr>
        <w:top w:val="none" w:sz="0" w:space="0" w:color="auto"/>
        <w:left w:val="none" w:sz="0" w:space="0" w:color="auto"/>
        <w:bottom w:val="none" w:sz="0" w:space="0" w:color="auto"/>
        <w:right w:val="none" w:sz="0" w:space="0" w:color="auto"/>
      </w:divBdr>
    </w:div>
    <w:div w:id="833421389">
      <w:bodyDiv w:val="1"/>
      <w:marLeft w:val="0"/>
      <w:marRight w:val="0"/>
      <w:marTop w:val="0"/>
      <w:marBottom w:val="0"/>
      <w:divBdr>
        <w:top w:val="none" w:sz="0" w:space="0" w:color="auto"/>
        <w:left w:val="none" w:sz="0" w:space="0" w:color="auto"/>
        <w:bottom w:val="none" w:sz="0" w:space="0" w:color="auto"/>
        <w:right w:val="none" w:sz="0" w:space="0" w:color="auto"/>
      </w:divBdr>
    </w:div>
    <w:div w:id="862784759">
      <w:bodyDiv w:val="1"/>
      <w:marLeft w:val="0"/>
      <w:marRight w:val="0"/>
      <w:marTop w:val="0"/>
      <w:marBottom w:val="0"/>
      <w:divBdr>
        <w:top w:val="none" w:sz="0" w:space="0" w:color="auto"/>
        <w:left w:val="none" w:sz="0" w:space="0" w:color="auto"/>
        <w:bottom w:val="none" w:sz="0" w:space="0" w:color="auto"/>
        <w:right w:val="none" w:sz="0" w:space="0" w:color="auto"/>
      </w:divBdr>
    </w:div>
    <w:div w:id="1090392271">
      <w:bodyDiv w:val="1"/>
      <w:marLeft w:val="0"/>
      <w:marRight w:val="0"/>
      <w:marTop w:val="0"/>
      <w:marBottom w:val="0"/>
      <w:divBdr>
        <w:top w:val="none" w:sz="0" w:space="0" w:color="auto"/>
        <w:left w:val="none" w:sz="0" w:space="0" w:color="auto"/>
        <w:bottom w:val="none" w:sz="0" w:space="0" w:color="auto"/>
        <w:right w:val="none" w:sz="0" w:space="0" w:color="auto"/>
      </w:divBdr>
    </w:div>
    <w:div w:id="1094210410">
      <w:bodyDiv w:val="1"/>
      <w:marLeft w:val="0"/>
      <w:marRight w:val="0"/>
      <w:marTop w:val="0"/>
      <w:marBottom w:val="0"/>
      <w:divBdr>
        <w:top w:val="none" w:sz="0" w:space="0" w:color="auto"/>
        <w:left w:val="none" w:sz="0" w:space="0" w:color="auto"/>
        <w:bottom w:val="none" w:sz="0" w:space="0" w:color="auto"/>
        <w:right w:val="none" w:sz="0" w:space="0" w:color="auto"/>
      </w:divBdr>
    </w:div>
    <w:div w:id="1182552692">
      <w:bodyDiv w:val="1"/>
      <w:marLeft w:val="0"/>
      <w:marRight w:val="0"/>
      <w:marTop w:val="0"/>
      <w:marBottom w:val="0"/>
      <w:divBdr>
        <w:top w:val="none" w:sz="0" w:space="0" w:color="auto"/>
        <w:left w:val="none" w:sz="0" w:space="0" w:color="auto"/>
        <w:bottom w:val="none" w:sz="0" w:space="0" w:color="auto"/>
        <w:right w:val="none" w:sz="0" w:space="0" w:color="auto"/>
      </w:divBdr>
    </w:div>
    <w:div w:id="1355424898">
      <w:bodyDiv w:val="1"/>
      <w:marLeft w:val="0"/>
      <w:marRight w:val="0"/>
      <w:marTop w:val="0"/>
      <w:marBottom w:val="0"/>
      <w:divBdr>
        <w:top w:val="none" w:sz="0" w:space="0" w:color="auto"/>
        <w:left w:val="none" w:sz="0" w:space="0" w:color="auto"/>
        <w:bottom w:val="none" w:sz="0" w:space="0" w:color="auto"/>
        <w:right w:val="none" w:sz="0" w:space="0" w:color="auto"/>
      </w:divBdr>
    </w:div>
    <w:div w:id="1366097961">
      <w:bodyDiv w:val="1"/>
      <w:marLeft w:val="0"/>
      <w:marRight w:val="0"/>
      <w:marTop w:val="0"/>
      <w:marBottom w:val="0"/>
      <w:divBdr>
        <w:top w:val="none" w:sz="0" w:space="0" w:color="auto"/>
        <w:left w:val="none" w:sz="0" w:space="0" w:color="auto"/>
        <w:bottom w:val="none" w:sz="0" w:space="0" w:color="auto"/>
        <w:right w:val="none" w:sz="0" w:space="0" w:color="auto"/>
      </w:divBdr>
    </w:div>
    <w:div w:id="1379360490">
      <w:bodyDiv w:val="1"/>
      <w:marLeft w:val="0"/>
      <w:marRight w:val="0"/>
      <w:marTop w:val="0"/>
      <w:marBottom w:val="0"/>
      <w:divBdr>
        <w:top w:val="none" w:sz="0" w:space="0" w:color="auto"/>
        <w:left w:val="none" w:sz="0" w:space="0" w:color="auto"/>
        <w:bottom w:val="none" w:sz="0" w:space="0" w:color="auto"/>
        <w:right w:val="none" w:sz="0" w:space="0" w:color="auto"/>
      </w:divBdr>
      <w:divsChild>
        <w:div w:id="711266711">
          <w:marLeft w:val="0"/>
          <w:marRight w:val="0"/>
          <w:marTop w:val="0"/>
          <w:marBottom w:val="0"/>
          <w:divBdr>
            <w:top w:val="none" w:sz="0" w:space="0" w:color="auto"/>
            <w:left w:val="none" w:sz="0" w:space="0" w:color="auto"/>
            <w:bottom w:val="none" w:sz="0" w:space="0" w:color="auto"/>
            <w:right w:val="none" w:sz="0" w:space="0" w:color="auto"/>
          </w:divBdr>
          <w:divsChild>
            <w:div w:id="1748529064">
              <w:marLeft w:val="360"/>
              <w:marRight w:val="0"/>
              <w:marTop w:val="0"/>
              <w:marBottom w:val="600"/>
              <w:divBdr>
                <w:top w:val="none" w:sz="0" w:space="0" w:color="auto"/>
                <w:left w:val="none" w:sz="0" w:space="0" w:color="auto"/>
                <w:bottom w:val="none" w:sz="0" w:space="0" w:color="auto"/>
                <w:right w:val="none" w:sz="0" w:space="0" w:color="auto"/>
              </w:divBdr>
              <w:divsChild>
                <w:div w:id="1204440766">
                  <w:marLeft w:val="0"/>
                  <w:marRight w:val="0"/>
                  <w:marTop w:val="0"/>
                  <w:marBottom w:val="0"/>
                  <w:divBdr>
                    <w:top w:val="none" w:sz="0" w:space="0" w:color="auto"/>
                    <w:left w:val="none" w:sz="0" w:space="0" w:color="auto"/>
                    <w:bottom w:val="none" w:sz="0" w:space="0" w:color="auto"/>
                    <w:right w:val="none" w:sz="0" w:space="0" w:color="auto"/>
                  </w:divBdr>
                  <w:divsChild>
                    <w:div w:id="5363536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84519231">
      <w:bodyDiv w:val="1"/>
      <w:marLeft w:val="0"/>
      <w:marRight w:val="0"/>
      <w:marTop w:val="0"/>
      <w:marBottom w:val="0"/>
      <w:divBdr>
        <w:top w:val="none" w:sz="0" w:space="0" w:color="auto"/>
        <w:left w:val="none" w:sz="0" w:space="0" w:color="auto"/>
        <w:bottom w:val="none" w:sz="0" w:space="0" w:color="auto"/>
        <w:right w:val="none" w:sz="0" w:space="0" w:color="auto"/>
      </w:divBdr>
    </w:div>
    <w:div w:id="1430541474">
      <w:bodyDiv w:val="1"/>
      <w:marLeft w:val="0"/>
      <w:marRight w:val="0"/>
      <w:marTop w:val="0"/>
      <w:marBottom w:val="0"/>
      <w:divBdr>
        <w:top w:val="none" w:sz="0" w:space="0" w:color="auto"/>
        <w:left w:val="none" w:sz="0" w:space="0" w:color="auto"/>
        <w:bottom w:val="none" w:sz="0" w:space="0" w:color="auto"/>
        <w:right w:val="none" w:sz="0" w:space="0" w:color="auto"/>
      </w:divBdr>
    </w:div>
    <w:div w:id="1542210068">
      <w:bodyDiv w:val="1"/>
      <w:marLeft w:val="0"/>
      <w:marRight w:val="0"/>
      <w:marTop w:val="0"/>
      <w:marBottom w:val="0"/>
      <w:divBdr>
        <w:top w:val="none" w:sz="0" w:space="0" w:color="auto"/>
        <w:left w:val="none" w:sz="0" w:space="0" w:color="auto"/>
        <w:bottom w:val="none" w:sz="0" w:space="0" w:color="auto"/>
        <w:right w:val="none" w:sz="0" w:space="0" w:color="auto"/>
      </w:divBdr>
    </w:div>
    <w:div w:id="1599605840">
      <w:bodyDiv w:val="1"/>
      <w:marLeft w:val="0"/>
      <w:marRight w:val="0"/>
      <w:marTop w:val="0"/>
      <w:marBottom w:val="0"/>
      <w:divBdr>
        <w:top w:val="none" w:sz="0" w:space="0" w:color="auto"/>
        <w:left w:val="none" w:sz="0" w:space="0" w:color="auto"/>
        <w:bottom w:val="none" w:sz="0" w:space="0" w:color="auto"/>
        <w:right w:val="none" w:sz="0" w:space="0" w:color="auto"/>
      </w:divBdr>
    </w:div>
    <w:div w:id="1619754655">
      <w:bodyDiv w:val="1"/>
      <w:marLeft w:val="0"/>
      <w:marRight w:val="0"/>
      <w:marTop w:val="0"/>
      <w:marBottom w:val="0"/>
      <w:divBdr>
        <w:top w:val="none" w:sz="0" w:space="0" w:color="auto"/>
        <w:left w:val="none" w:sz="0" w:space="0" w:color="auto"/>
        <w:bottom w:val="none" w:sz="0" w:space="0" w:color="auto"/>
        <w:right w:val="none" w:sz="0" w:space="0" w:color="auto"/>
      </w:divBdr>
    </w:div>
    <w:div w:id="1629123575">
      <w:bodyDiv w:val="1"/>
      <w:marLeft w:val="0"/>
      <w:marRight w:val="0"/>
      <w:marTop w:val="0"/>
      <w:marBottom w:val="0"/>
      <w:divBdr>
        <w:top w:val="none" w:sz="0" w:space="0" w:color="auto"/>
        <w:left w:val="none" w:sz="0" w:space="0" w:color="auto"/>
        <w:bottom w:val="none" w:sz="0" w:space="0" w:color="auto"/>
        <w:right w:val="none" w:sz="0" w:space="0" w:color="auto"/>
      </w:divBdr>
    </w:div>
    <w:div w:id="1635410308">
      <w:bodyDiv w:val="1"/>
      <w:marLeft w:val="0"/>
      <w:marRight w:val="0"/>
      <w:marTop w:val="0"/>
      <w:marBottom w:val="0"/>
      <w:divBdr>
        <w:top w:val="none" w:sz="0" w:space="0" w:color="auto"/>
        <w:left w:val="none" w:sz="0" w:space="0" w:color="auto"/>
        <w:bottom w:val="none" w:sz="0" w:space="0" w:color="auto"/>
        <w:right w:val="none" w:sz="0" w:space="0" w:color="auto"/>
      </w:divBdr>
    </w:div>
    <w:div w:id="1744982908">
      <w:bodyDiv w:val="1"/>
      <w:marLeft w:val="0"/>
      <w:marRight w:val="0"/>
      <w:marTop w:val="0"/>
      <w:marBottom w:val="0"/>
      <w:divBdr>
        <w:top w:val="none" w:sz="0" w:space="0" w:color="auto"/>
        <w:left w:val="none" w:sz="0" w:space="0" w:color="auto"/>
        <w:bottom w:val="none" w:sz="0" w:space="0" w:color="auto"/>
        <w:right w:val="none" w:sz="0" w:space="0" w:color="auto"/>
      </w:divBdr>
      <w:divsChild>
        <w:div w:id="2136561883">
          <w:marLeft w:val="0"/>
          <w:marRight w:val="0"/>
          <w:marTop w:val="0"/>
          <w:marBottom w:val="0"/>
          <w:divBdr>
            <w:top w:val="none" w:sz="0" w:space="0" w:color="auto"/>
            <w:left w:val="none" w:sz="0" w:space="0" w:color="auto"/>
            <w:bottom w:val="none" w:sz="0" w:space="0" w:color="auto"/>
            <w:right w:val="none" w:sz="0" w:space="0" w:color="auto"/>
          </w:divBdr>
        </w:div>
        <w:div w:id="1903982851">
          <w:marLeft w:val="0"/>
          <w:marRight w:val="0"/>
          <w:marTop w:val="0"/>
          <w:marBottom w:val="0"/>
          <w:divBdr>
            <w:top w:val="none" w:sz="0" w:space="0" w:color="auto"/>
            <w:left w:val="none" w:sz="0" w:space="0" w:color="auto"/>
            <w:bottom w:val="none" w:sz="0" w:space="0" w:color="auto"/>
            <w:right w:val="none" w:sz="0" w:space="0" w:color="auto"/>
          </w:divBdr>
        </w:div>
        <w:div w:id="76294876">
          <w:marLeft w:val="0"/>
          <w:marRight w:val="0"/>
          <w:marTop w:val="0"/>
          <w:marBottom w:val="0"/>
          <w:divBdr>
            <w:top w:val="none" w:sz="0" w:space="0" w:color="auto"/>
            <w:left w:val="none" w:sz="0" w:space="0" w:color="auto"/>
            <w:bottom w:val="none" w:sz="0" w:space="0" w:color="auto"/>
            <w:right w:val="none" w:sz="0" w:space="0" w:color="auto"/>
          </w:divBdr>
        </w:div>
        <w:div w:id="1600871312">
          <w:marLeft w:val="0"/>
          <w:marRight w:val="0"/>
          <w:marTop w:val="0"/>
          <w:marBottom w:val="0"/>
          <w:divBdr>
            <w:top w:val="none" w:sz="0" w:space="0" w:color="auto"/>
            <w:left w:val="none" w:sz="0" w:space="0" w:color="auto"/>
            <w:bottom w:val="none" w:sz="0" w:space="0" w:color="auto"/>
            <w:right w:val="none" w:sz="0" w:space="0" w:color="auto"/>
          </w:divBdr>
        </w:div>
        <w:div w:id="1405371208">
          <w:marLeft w:val="0"/>
          <w:marRight w:val="0"/>
          <w:marTop w:val="0"/>
          <w:marBottom w:val="0"/>
          <w:divBdr>
            <w:top w:val="none" w:sz="0" w:space="0" w:color="auto"/>
            <w:left w:val="none" w:sz="0" w:space="0" w:color="auto"/>
            <w:bottom w:val="none" w:sz="0" w:space="0" w:color="auto"/>
            <w:right w:val="none" w:sz="0" w:space="0" w:color="auto"/>
          </w:divBdr>
        </w:div>
        <w:div w:id="835455715">
          <w:marLeft w:val="0"/>
          <w:marRight w:val="0"/>
          <w:marTop w:val="0"/>
          <w:marBottom w:val="0"/>
          <w:divBdr>
            <w:top w:val="none" w:sz="0" w:space="0" w:color="auto"/>
            <w:left w:val="none" w:sz="0" w:space="0" w:color="auto"/>
            <w:bottom w:val="none" w:sz="0" w:space="0" w:color="auto"/>
            <w:right w:val="none" w:sz="0" w:space="0" w:color="auto"/>
          </w:divBdr>
        </w:div>
        <w:div w:id="946540906">
          <w:marLeft w:val="0"/>
          <w:marRight w:val="0"/>
          <w:marTop w:val="0"/>
          <w:marBottom w:val="0"/>
          <w:divBdr>
            <w:top w:val="none" w:sz="0" w:space="0" w:color="auto"/>
            <w:left w:val="none" w:sz="0" w:space="0" w:color="auto"/>
            <w:bottom w:val="none" w:sz="0" w:space="0" w:color="auto"/>
            <w:right w:val="none" w:sz="0" w:space="0" w:color="auto"/>
          </w:divBdr>
        </w:div>
        <w:div w:id="304773941">
          <w:marLeft w:val="0"/>
          <w:marRight w:val="0"/>
          <w:marTop w:val="0"/>
          <w:marBottom w:val="0"/>
          <w:divBdr>
            <w:top w:val="none" w:sz="0" w:space="0" w:color="auto"/>
            <w:left w:val="none" w:sz="0" w:space="0" w:color="auto"/>
            <w:bottom w:val="none" w:sz="0" w:space="0" w:color="auto"/>
            <w:right w:val="none" w:sz="0" w:space="0" w:color="auto"/>
          </w:divBdr>
        </w:div>
        <w:div w:id="1373531183">
          <w:marLeft w:val="0"/>
          <w:marRight w:val="0"/>
          <w:marTop w:val="0"/>
          <w:marBottom w:val="0"/>
          <w:divBdr>
            <w:top w:val="none" w:sz="0" w:space="0" w:color="auto"/>
            <w:left w:val="none" w:sz="0" w:space="0" w:color="auto"/>
            <w:bottom w:val="none" w:sz="0" w:space="0" w:color="auto"/>
            <w:right w:val="none" w:sz="0" w:space="0" w:color="auto"/>
          </w:divBdr>
        </w:div>
        <w:div w:id="1789350404">
          <w:marLeft w:val="0"/>
          <w:marRight w:val="0"/>
          <w:marTop w:val="0"/>
          <w:marBottom w:val="0"/>
          <w:divBdr>
            <w:top w:val="none" w:sz="0" w:space="0" w:color="auto"/>
            <w:left w:val="none" w:sz="0" w:space="0" w:color="auto"/>
            <w:bottom w:val="none" w:sz="0" w:space="0" w:color="auto"/>
            <w:right w:val="none" w:sz="0" w:space="0" w:color="auto"/>
          </w:divBdr>
        </w:div>
        <w:div w:id="1998608699">
          <w:marLeft w:val="0"/>
          <w:marRight w:val="0"/>
          <w:marTop w:val="0"/>
          <w:marBottom w:val="0"/>
          <w:divBdr>
            <w:top w:val="none" w:sz="0" w:space="0" w:color="auto"/>
            <w:left w:val="none" w:sz="0" w:space="0" w:color="auto"/>
            <w:bottom w:val="none" w:sz="0" w:space="0" w:color="auto"/>
            <w:right w:val="none" w:sz="0" w:space="0" w:color="auto"/>
          </w:divBdr>
        </w:div>
        <w:div w:id="1291667381">
          <w:marLeft w:val="0"/>
          <w:marRight w:val="0"/>
          <w:marTop w:val="0"/>
          <w:marBottom w:val="0"/>
          <w:divBdr>
            <w:top w:val="none" w:sz="0" w:space="0" w:color="auto"/>
            <w:left w:val="none" w:sz="0" w:space="0" w:color="auto"/>
            <w:bottom w:val="none" w:sz="0" w:space="0" w:color="auto"/>
            <w:right w:val="none" w:sz="0" w:space="0" w:color="auto"/>
          </w:divBdr>
        </w:div>
        <w:div w:id="221067543">
          <w:marLeft w:val="0"/>
          <w:marRight w:val="0"/>
          <w:marTop w:val="0"/>
          <w:marBottom w:val="0"/>
          <w:divBdr>
            <w:top w:val="none" w:sz="0" w:space="0" w:color="auto"/>
            <w:left w:val="none" w:sz="0" w:space="0" w:color="auto"/>
            <w:bottom w:val="none" w:sz="0" w:space="0" w:color="auto"/>
            <w:right w:val="none" w:sz="0" w:space="0" w:color="auto"/>
          </w:divBdr>
        </w:div>
        <w:div w:id="1061908679">
          <w:marLeft w:val="0"/>
          <w:marRight w:val="0"/>
          <w:marTop w:val="0"/>
          <w:marBottom w:val="0"/>
          <w:divBdr>
            <w:top w:val="none" w:sz="0" w:space="0" w:color="auto"/>
            <w:left w:val="none" w:sz="0" w:space="0" w:color="auto"/>
            <w:bottom w:val="none" w:sz="0" w:space="0" w:color="auto"/>
            <w:right w:val="none" w:sz="0" w:space="0" w:color="auto"/>
          </w:divBdr>
        </w:div>
        <w:div w:id="862288437">
          <w:marLeft w:val="0"/>
          <w:marRight w:val="0"/>
          <w:marTop w:val="0"/>
          <w:marBottom w:val="0"/>
          <w:divBdr>
            <w:top w:val="none" w:sz="0" w:space="0" w:color="auto"/>
            <w:left w:val="none" w:sz="0" w:space="0" w:color="auto"/>
            <w:bottom w:val="none" w:sz="0" w:space="0" w:color="auto"/>
            <w:right w:val="none" w:sz="0" w:space="0" w:color="auto"/>
          </w:divBdr>
        </w:div>
        <w:div w:id="1880818072">
          <w:marLeft w:val="0"/>
          <w:marRight w:val="0"/>
          <w:marTop w:val="0"/>
          <w:marBottom w:val="0"/>
          <w:divBdr>
            <w:top w:val="none" w:sz="0" w:space="0" w:color="auto"/>
            <w:left w:val="none" w:sz="0" w:space="0" w:color="auto"/>
            <w:bottom w:val="none" w:sz="0" w:space="0" w:color="auto"/>
            <w:right w:val="none" w:sz="0" w:space="0" w:color="auto"/>
          </w:divBdr>
        </w:div>
        <w:div w:id="1032609195">
          <w:marLeft w:val="0"/>
          <w:marRight w:val="0"/>
          <w:marTop w:val="0"/>
          <w:marBottom w:val="0"/>
          <w:divBdr>
            <w:top w:val="none" w:sz="0" w:space="0" w:color="auto"/>
            <w:left w:val="none" w:sz="0" w:space="0" w:color="auto"/>
            <w:bottom w:val="none" w:sz="0" w:space="0" w:color="auto"/>
            <w:right w:val="none" w:sz="0" w:space="0" w:color="auto"/>
          </w:divBdr>
        </w:div>
        <w:div w:id="322860912">
          <w:marLeft w:val="0"/>
          <w:marRight w:val="0"/>
          <w:marTop w:val="0"/>
          <w:marBottom w:val="0"/>
          <w:divBdr>
            <w:top w:val="none" w:sz="0" w:space="0" w:color="auto"/>
            <w:left w:val="none" w:sz="0" w:space="0" w:color="auto"/>
            <w:bottom w:val="none" w:sz="0" w:space="0" w:color="auto"/>
            <w:right w:val="none" w:sz="0" w:space="0" w:color="auto"/>
          </w:divBdr>
        </w:div>
        <w:div w:id="785588552">
          <w:marLeft w:val="0"/>
          <w:marRight w:val="0"/>
          <w:marTop w:val="0"/>
          <w:marBottom w:val="0"/>
          <w:divBdr>
            <w:top w:val="none" w:sz="0" w:space="0" w:color="auto"/>
            <w:left w:val="none" w:sz="0" w:space="0" w:color="auto"/>
            <w:bottom w:val="none" w:sz="0" w:space="0" w:color="auto"/>
            <w:right w:val="none" w:sz="0" w:space="0" w:color="auto"/>
          </w:divBdr>
        </w:div>
        <w:div w:id="1717468238">
          <w:marLeft w:val="0"/>
          <w:marRight w:val="0"/>
          <w:marTop w:val="0"/>
          <w:marBottom w:val="0"/>
          <w:divBdr>
            <w:top w:val="none" w:sz="0" w:space="0" w:color="auto"/>
            <w:left w:val="none" w:sz="0" w:space="0" w:color="auto"/>
            <w:bottom w:val="none" w:sz="0" w:space="0" w:color="auto"/>
            <w:right w:val="none" w:sz="0" w:space="0" w:color="auto"/>
          </w:divBdr>
        </w:div>
        <w:div w:id="1983196345">
          <w:marLeft w:val="0"/>
          <w:marRight w:val="0"/>
          <w:marTop w:val="0"/>
          <w:marBottom w:val="0"/>
          <w:divBdr>
            <w:top w:val="none" w:sz="0" w:space="0" w:color="auto"/>
            <w:left w:val="none" w:sz="0" w:space="0" w:color="auto"/>
            <w:bottom w:val="none" w:sz="0" w:space="0" w:color="auto"/>
            <w:right w:val="none" w:sz="0" w:space="0" w:color="auto"/>
          </w:divBdr>
        </w:div>
        <w:div w:id="958217707">
          <w:marLeft w:val="0"/>
          <w:marRight w:val="0"/>
          <w:marTop w:val="0"/>
          <w:marBottom w:val="0"/>
          <w:divBdr>
            <w:top w:val="none" w:sz="0" w:space="0" w:color="auto"/>
            <w:left w:val="none" w:sz="0" w:space="0" w:color="auto"/>
            <w:bottom w:val="none" w:sz="0" w:space="0" w:color="auto"/>
            <w:right w:val="none" w:sz="0" w:space="0" w:color="auto"/>
          </w:divBdr>
        </w:div>
        <w:div w:id="1861702555">
          <w:marLeft w:val="0"/>
          <w:marRight w:val="0"/>
          <w:marTop w:val="0"/>
          <w:marBottom w:val="0"/>
          <w:divBdr>
            <w:top w:val="none" w:sz="0" w:space="0" w:color="auto"/>
            <w:left w:val="none" w:sz="0" w:space="0" w:color="auto"/>
            <w:bottom w:val="none" w:sz="0" w:space="0" w:color="auto"/>
            <w:right w:val="none" w:sz="0" w:space="0" w:color="auto"/>
          </w:divBdr>
        </w:div>
        <w:div w:id="90399872">
          <w:marLeft w:val="0"/>
          <w:marRight w:val="0"/>
          <w:marTop w:val="0"/>
          <w:marBottom w:val="0"/>
          <w:divBdr>
            <w:top w:val="none" w:sz="0" w:space="0" w:color="auto"/>
            <w:left w:val="none" w:sz="0" w:space="0" w:color="auto"/>
            <w:bottom w:val="none" w:sz="0" w:space="0" w:color="auto"/>
            <w:right w:val="none" w:sz="0" w:space="0" w:color="auto"/>
          </w:divBdr>
        </w:div>
        <w:div w:id="679966543">
          <w:marLeft w:val="0"/>
          <w:marRight w:val="0"/>
          <w:marTop w:val="0"/>
          <w:marBottom w:val="0"/>
          <w:divBdr>
            <w:top w:val="none" w:sz="0" w:space="0" w:color="auto"/>
            <w:left w:val="none" w:sz="0" w:space="0" w:color="auto"/>
            <w:bottom w:val="none" w:sz="0" w:space="0" w:color="auto"/>
            <w:right w:val="none" w:sz="0" w:space="0" w:color="auto"/>
          </w:divBdr>
        </w:div>
        <w:div w:id="867572968">
          <w:marLeft w:val="0"/>
          <w:marRight w:val="0"/>
          <w:marTop w:val="0"/>
          <w:marBottom w:val="0"/>
          <w:divBdr>
            <w:top w:val="none" w:sz="0" w:space="0" w:color="auto"/>
            <w:left w:val="none" w:sz="0" w:space="0" w:color="auto"/>
            <w:bottom w:val="none" w:sz="0" w:space="0" w:color="auto"/>
            <w:right w:val="none" w:sz="0" w:space="0" w:color="auto"/>
          </w:divBdr>
        </w:div>
        <w:div w:id="200871385">
          <w:marLeft w:val="0"/>
          <w:marRight w:val="0"/>
          <w:marTop w:val="0"/>
          <w:marBottom w:val="0"/>
          <w:divBdr>
            <w:top w:val="none" w:sz="0" w:space="0" w:color="auto"/>
            <w:left w:val="none" w:sz="0" w:space="0" w:color="auto"/>
            <w:bottom w:val="none" w:sz="0" w:space="0" w:color="auto"/>
            <w:right w:val="none" w:sz="0" w:space="0" w:color="auto"/>
          </w:divBdr>
        </w:div>
        <w:div w:id="1223906224">
          <w:marLeft w:val="0"/>
          <w:marRight w:val="0"/>
          <w:marTop w:val="0"/>
          <w:marBottom w:val="0"/>
          <w:divBdr>
            <w:top w:val="none" w:sz="0" w:space="0" w:color="auto"/>
            <w:left w:val="none" w:sz="0" w:space="0" w:color="auto"/>
            <w:bottom w:val="none" w:sz="0" w:space="0" w:color="auto"/>
            <w:right w:val="none" w:sz="0" w:space="0" w:color="auto"/>
          </w:divBdr>
        </w:div>
        <w:div w:id="954363949">
          <w:marLeft w:val="0"/>
          <w:marRight w:val="0"/>
          <w:marTop w:val="0"/>
          <w:marBottom w:val="0"/>
          <w:divBdr>
            <w:top w:val="none" w:sz="0" w:space="0" w:color="auto"/>
            <w:left w:val="none" w:sz="0" w:space="0" w:color="auto"/>
            <w:bottom w:val="none" w:sz="0" w:space="0" w:color="auto"/>
            <w:right w:val="none" w:sz="0" w:space="0" w:color="auto"/>
          </w:divBdr>
        </w:div>
        <w:div w:id="340160609">
          <w:marLeft w:val="0"/>
          <w:marRight w:val="0"/>
          <w:marTop w:val="0"/>
          <w:marBottom w:val="0"/>
          <w:divBdr>
            <w:top w:val="none" w:sz="0" w:space="0" w:color="auto"/>
            <w:left w:val="none" w:sz="0" w:space="0" w:color="auto"/>
            <w:bottom w:val="none" w:sz="0" w:space="0" w:color="auto"/>
            <w:right w:val="none" w:sz="0" w:space="0" w:color="auto"/>
          </w:divBdr>
        </w:div>
        <w:div w:id="1685403503">
          <w:marLeft w:val="0"/>
          <w:marRight w:val="0"/>
          <w:marTop w:val="0"/>
          <w:marBottom w:val="0"/>
          <w:divBdr>
            <w:top w:val="none" w:sz="0" w:space="0" w:color="auto"/>
            <w:left w:val="none" w:sz="0" w:space="0" w:color="auto"/>
            <w:bottom w:val="none" w:sz="0" w:space="0" w:color="auto"/>
            <w:right w:val="none" w:sz="0" w:space="0" w:color="auto"/>
          </w:divBdr>
        </w:div>
        <w:div w:id="604655202">
          <w:marLeft w:val="0"/>
          <w:marRight w:val="0"/>
          <w:marTop w:val="0"/>
          <w:marBottom w:val="0"/>
          <w:divBdr>
            <w:top w:val="none" w:sz="0" w:space="0" w:color="auto"/>
            <w:left w:val="none" w:sz="0" w:space="0" w:color="auto"/>
            <w:bottom w:val="none" w:sz="0" w:space="0" w:color="auto"/>
            <w:right w:val="none" w:sz="0" w:space="0" w:color="auto"/>
          </w:divBdr>
        </w:div>
        <w:div w:id="446970564">
          <w:marLeft w:val="0"/>
          <w:marRight w:val="0"/>
          <w:marTop w:val="0"/>
          <w:marBottom w:val="0"/>
          <w:divBdr>
            <w:top w:val="none" w:sz="0" w:space="0" w:color="auto"/>
            <w:left w:val="none" w:sz="0" w:space="0" w:color="auto"/>
            <w:bottom w:val="none" w:sz="0" w:space="0" w:color="auto"/>
            <w:right w:val="none" w:sz="0" w:space="0" w:color="auto"/>
          </w:divBdr>
        </w:div>
        <w:div w:id="2107653361">
          <w:marLeft w:val="0"/>
          <w:marRight w:val="0"/>
          <w:marTop w:val="0"/>
          <w:marBottom w:val="0"/>
          <w:divBdr>
            <w:top w:val="none" w:sz="0" w:space="0" w:color="auto"/>
            <w:left w:val="none" w:sz="0" w:space="0" w:color="auto"/>
            <w:bottom w:val="none" w:sz="0" w:space="0" w:color="auto"/>
            <w:right w:val="none" w:sz="0" w:space="0" w:color="auto"/>
          </w:divBdr>
        </w:div>
        <w:div w:id="248660164">
          <w:marLeft w:val="0"/>
          <w:marRight w:val="0"/>
          <w:marTop w:val="0"/>
          <w:marBottom w:val="0"/>
          <w:divBdr>
            <w:top w:val="none" w:sz="0" w:space="0" w:color="auto"/>
            <w:left w:val="none" w:sz="0" w:space="0" w:color="auto"/>
            <w:bottom w:val="none" w:sz="0" w:space="0" w:color="auto"/>
            <w:right w:val="none" w:sz="0" w:space="0" w:color="auto"/>
          </w:divBdr>
        </w:div>
        <w:div w:id="723286686">
          <w:marLeft w:val="0"/>
          <w:marRight w:val="0"/>
          <w:marTop w:val="0"/>
          <w:marBottom w:val="0"/>
          <w:divBdr>
            <w:top w:val="none" w:sz="0" w:space="0" w:color="auto"/>
            <w:left w:val="none" w:sz="0" w:space="0" w:color="auto"/>
            <w:bottom w:val="none" w:sz="0" w:space="0" w:color="auto"/>
            <w:right w:val="none" w:sz="0" w:space="0" w:color="auto"/>
          </w:divBdr>
        </w:div>
        <w:div w:id="861434283">
          <w:marLeft w:val="0"/>
          <w:marRight w:val="0"/>
          <w:marTop w:val="0"/>
          <w:marBottom w:val="0"/>
          <w:divBdr>
            <w:top w:val="none" w:sz="0" w:space="0" w:color="auto"/>
            <w:left w:val="none" w:sz="0" w:space="0" w:color="auto"/>
            <w:bottom w:val="none" w:sz="0" w:space="0" w:color="auto"/>
            <w:right w:val="none" w:sz="0" w:space="0" w:color="auto"/>
          </w:divBdr>
        </w:div>
        <w:div w:id="1320891029">
          <w:marLeft w:val="0"/>
          <w:marRight w:val="0"/>
          <w:marTop w:val="0"/>
          <w:marBottom w:val="0"/>
          <w:divBdr>
            <w:top w:val="none" w:sz="0" w:space="0" w:color="auto"/>
            <w:left w:val="none" w:sz="0" w:space="0" w:color="auto"/>
            <w:bottom w:val="none" w:sz="0" w:space="0" w:color="auto"/>
            <w:right w:val="none" w:sz="0" w:space="0" w:color="auto"/>
          </w:divBdr>
        </w:div>
        <w:div w:id="332606943">
          <w:marLeft w:val="0"/>
          <w:marRight w:val="0"/>
          <w:marTop w:val="0"/>
          <w:marBottom w:val="0"/>
          <w:divBdr>
            <w:top w:val="none" w:sz="0" w:space="0" w:color="auto"/>
            <w:left w:val="none" w:sz="0" w:space="0" w:color="auto"/>
            <w:bottom w:val="none" w:sz="0" w:space="0" w:color="auto"/>
            <w:right w:val="none" w:sz="0" w:space="0" w:color="auto"/>
          </w:divBdr>
        </w:div>
        <w:div w:id="1585217204">
          <w:marLeft w:val="0"/>
          <w:marRight w:val="0"/>
          <w:marTop w:val="0"/>
          <w:marBottom w:val="0"/>
          <w:divBdr>
            <w:top w:val="none" w:sz="0" w:space="0" w:color="auto"/>
            <w:left w:val="none" w:sz="0" w:space="0" w:color="auto"/>
            <w:bottom w:val="none" w:sz="0" w:space="0" w:color="auto"/>
            <w:right w:val="none" w:sz="0" w:space="0" w:color="auto"/>
          </w:divBdr>
        </w:div>
        <w:div w:id="1908760856">
          <w:marLeft w:val="0"/>
          <w:marRight w:val="0"/>
          <w:marTop w:val="0"/>
          <w:marBottom w:val="0"/>
          <w:divBdr>
            <w:top w:val="none" w:sz="0" w:space="0" w:color="auto"/>
            <w:left w:val="none" w:sz="0" w:space="0" w:color="auto"/>
            <w:bottom w:val="none" w:sz="0" w:space="0" w:color="auto"/>
            <w:right w:val="none" w:sz="0" w:space="0" w:color="auto"/>
          </w:divBdr>
        </w:div>
        <w:div w:id="1749375469">
          <w:marLeft w:val="0"/>
          <w:marRight w:val="0"/>
          <w:marTop w:val="0"/>
          <w:marBottom w:val="0"/>
          <w:divBdr>
            <w:top w:val="none" w:sz="0" w:space="0" w:color="auto"/>
            <w:left w:val="none" w:sz="0" w:space="0" w:color="auto"/>
            <w:bottom w:val="none" w:sz="0" w:space="0" w:color="auto"/>
            <w:right w:val="none" w:sz="0" w:space="0" w:color="auto"/>
          </w:divBdr>
        </w:div>
        <w:div w:id="89200281">
          <w:marLeft w:val="0"/>
          <w:marRight w:val="0"/>
          <w:marTop w:val="0"/>
          <w:marBottom w:val="0"/>
          <w:divBdr>
            <w:top w:val="none" w:sz="0" w:space="0" w:color="auto"/>
            <w:left w:val="none" w:sz="0" w:space="0" w:color="auto"/>
            <w:bottom w:val="none" w:sz="0" w:space="0" w:color="auto"/>
            <w:right w:val="none" w:sz="0" w:space="0" w:color="auto"/>
          </w:divBdr>
        </w:div>
        <w:div w:id="2125536091">
          <w:marLeft w:val="0"/>
          <w:marRight w:val="0"/>
          <w:marTop w:val="0"/>
          <w:marBottom w:val="0"/>
          <w:divBdr>
            <w:top w:val="none" w:sz="0" w:space="0" w:color="auto"/>
            <w:left w:val="none" w:sz="0" w:space="0" w:color="auto"/>
            <w:bottom w:val="none" w:sz="0" w:space="0" w:color="auto"/>
            <w:right w:val="none" w:sz="0" w:space="0" w:color="auto"/>
          </w:divBdr>
        </w:div>
        <w:div w:id="1866480445">
          <w:marLeft w:val="0"/>
          <w:marRight w:val="0"/>
          <w:marTop w:val="0"/>
          <w:marBottom w:val="0"/>
          <w:divBdr>
            <w:top w:val="none" w:sz="0" w:space="0" w:color="auto"/>
            <w:left w:val="none" w:sz="0" w:space="0" w:color="auto"/>
            <w:bottom w:val="none" w:sz="0" w:space="0" w:color="auto"/>
            <w:right w:val="none" w:sz="0" w:space="0" w:color="auto"/>
          </w:divBdr>
        </w:div>
        <w:div w:id="900363978">
          <w:marLeft w:val="0"/>
          <w:marRight w:val="0"/>
          <w:marTop w:val="0"/>
          <w:marBottom w:val="0"/>
          <w:divBdr>
            <w:top w:val="none" w:sz="0" w:space="0" w:color="auto"/>
            <w:left w:val="none" w:sz="0" w:space="0" w:color="auto"/>
            <w:bottom w:val="none" w:sz="0" w:space="0" w:color="auto"/>
            <w:right w:val="none" w:sz="0" w:space="0" w:color="auto"/>
          </w:divBdr>
        </w:div>
        <w:div w:id="1002391390">
          <w:marLeft w:val="0"/>
          <w:marRight w:val="0"/>
          <w:marTop w:val="0"/>
          <w:marBottom w:val="0"/>
          <w:divBdr>
            <w:top w:val="none" w:sz="0" w:space="0" w:color="auto"/>
            <w:left w:val="none" w:sz="0" w:space="0" w:color="auto"/>
            <w:bottom w:val="none" w:sz="0" w:space="0" w:color="auto"/>
            <w:right w:val="none" w:sz="0" w:space="0" w:color="auto"/>
          </w:divBdr>
        </w:div>
        <w:div w:id="258873903">
          <w:marLeft w:val="0"/>
          <w:marRight w:val="0"/>
          <w:marTop w:val="0"/>
          <w:marBottom w:val="0"/>
          <w:divBdr>
            <w:top w:val="none" w:sz="0" w:space="0" w:color="auto"/>
            <w:left w:val="none" w:sz="0" w:space="0" w:color="auto"/>
            <w:bottom w:val="none" w:sz="0" w:space="0" w:color="auto"/>
            <w:right w:val="none" w:sz="0" w:space="0" w:color="auto"/>
          </w:divBdr>
        </w:div>
        <w:div w:id="202253484">
          <w:marLeft w:val="0"/>
          <w:marRight w:val="0"/>
          <w:marTop w:val="0"/>
          <w:marBottom w:val="0"/>
          <w:divBdr>
            <w:top w:val="none" w:sz="0" w:space="0" w:color="auto"/>
            <w:left w:val="none" w:sz="0" w:space="0" w:color="auto"/>
            <w:bottom w:val="none" w:sz="0" w:space="0" w:color="auto"/>
            <w:right w:val="none" w:sz="0" w:space="0" w:color="auto"/>
          </w:divBdr>
        </w:div>
        <w:div w:id="1739863605">
          <w:marLeft w:val="0"/>
          <w:marRight w:val="0"/>
          <w:marTop w:val="0"/>
          <w:marBottom w:val="0"/>
          <w:divBdr>
            <w:top w:val="none" w:sz="0" w:space="0" w:color="auto"/>
            <w:left w:val="none" w:sz="0" w:space="0" w:color="auto"/>
            <w:bottom w:val="none" w:sz="0" w:space="0" w:color="auto"/>
            <w:right w:val="none" w:sz="0" w:space="0" w:color="auto"/>
          </w:divBdr>
        </w:div>
        <w:div w:id="885607322">
          <w:marLeft w:val="0"/>
          <w:marRight w:val="0"/>
          <w:marTop w:val="0"/>
          <w:marBottom w:val="0"/>
          <w:divBdr>
            <w:top w:val="none" w:sz="0" w:space="0" w:color="auto"/>
            <w:left w:val="none" w:sz="0" w:space="0" w:color="auto"/>
            <w:bottom w:val="none" w:sz="0" w:space="0" w:color="auto"/>
            <w:right w:val="none" w:sz="0" w:space="0" w:color="auto"/>
          </w:divBdr>
        </w:div>
      </w:divsChild>
    </w:div>
    <w:div w:id="1775055075">
      <w:bodyDiv w:val="1"/>
      <w:marLeft w:val="0"/>
      <w:marRight w:val="0"/>
      <w:marTop w:val="0"/>
      <w:marBottom w:val="0"/>
      <w:divBdr>
        <w:top w:val="none" w:sz="0" w:space="0" w:color="auto"/>
        <w:left w:val="none" w:sz="0" w:space="0" w:color="auto"/>
        <w:bottom w:val="none" w:sz="0" w:space="0" w:color="auto"/>
        <w:right w:val="none" w:sz="0" w:space="0" w:color="auto"/>
      </w:divBdr>
    </w:div>
    <w:div w:id="1840777748">
      <w:bodyDiv w:val="1"/>
      <w:marLeft w:val="0"/>
      <w:marRight w:val="0"/>
      <w:marTop w:val="0"/>
      <w:marBottom w:val="0"/>
      <w:divBdr>
        <w:top w:val="none" w:sz="0" w:space="0" w:color="auto"/>
        <w:left w:val="none" w:sz="0" w:space="0" w:color="auto"/>
        <w:bottom w:val="none" w:sz="0" w:space="0" w:color="auto"/>
        <w:right w:val="none" w:sz="0" w:space="0" w:color="auto"/>
      </w:divBdr>
    </w:div>
    <w:div w:id="1866364334">
      <w:bodyDiv w:val="1"/>
      <w:marLeft w:val="0"/>
      <w:marRight w:val="0"/>
      <w:marTop w:val="0"/>
      <w:marBottom w:val="0"/>
      <w:divBdr>
        <w:top w:val="none" w:sz="0" w:space="0" w:color="auto"/>
        <w:left w:val="none" w:sz="0" w:space="0" w:color="auto"/>
        <w:bottom w:val="none" w:sz="0" w:space="0" w:color="auto"/>
        <w:right w:val="none" w:sz="0" w:space="0" w:color="auto"/>
      </w:divBdr>
      <w:divsChild>
        <w:div w:id="1605380147">
          <w:marLeft w:val="0"/>
          <w:marRight w:val="0"/>
          <w:marTop w:val="90"/>
          <w:marBottom w:val="75"/>
          <w:divBdr>
            <w:top w:val="dashed" w:sz="6" w:space="5" w:color="B2B2B2"/>
            <w:left w:val="none" w:sz="0" w:space="0" w:color="auto"/>
            <w:bottom w:val="none" w:sz="0" w:space="0" w:color="auto"/>
            <w:right w:val="none" w:sz="0" w:space="0" w:color="auto"/>
          </w:divBdr>
          <w:divsChild>
            <w:div w:id="1593514665">
              <w:marLeft w:val="0"/>
              <w:marRight w:val="0"/>
              <w:marTop w:val="0"/>
              <w:marBottom w:val="75"/>
              <w:divBdr>
                <w:top w:val="none" w:sz="0" w:space="0" w:color="auto"/>
                <w:left w:val="none" w:sz="0" w:space="0" w:color="auto"/>
                <w:bottom w:val="none" w:sz="0" w:space="0" w:color="auto"/>
                <w:right w:val="none" w:sz="0" w:space="0" w:color="auto"/>
              </w:divBdr>
            </w:div>
          </w:divsChild>
        </w:div>
        <w:div w:id="1820463532">
          <w:marLeft w:val="0"/>
          <w:marRight w:val="0"/>
          <w:marTop w:val="90"/>
          <w:marBottom w:val="75"/>
          <w:divBdr>
            <w:top w:val="none" w:sz="0" w:space="0" w:color="auto"/>
            <w:left w:val="none" w:sz="0" w:space="0" w:color="auto"/>
            <w:bottom w:val="none" w:sz="0" w:space="0" w:color="auto"/>
            <w:right w:val="none" w:sz="0" w:space="0" w:color="auto"/>
          </w:divBdr>
        </w:div>
        <w:div w:id="2098403369">
          <w:marLeft w:val="0"/>
          <w:marRight w:val="0"/>
          <w:marTop w:val="0"/>
          <w:marBottom w:val="0"/>
          <w:divBdr>
            <w:top w:val="none" w:sz="0" w:space="0" w:color="auto"/>
            <w:left w:val="none" w:sz="0" w:space="0" w:color="auto"/>
            <w:bottom w:val="none" w:sz="0" w:space="0" w:color="auto"/>
            <w:right w:val="none" w:sz="0" w:space="0" w:color="auto"/>
          </w:divBdr>
        </w:div>
      </w:divsChild>
    </w:div>
    <w:div w:id="1876114055">
      <w:bodyDiv w:val="1"/>
      <w:marLeft w:val="0"/>
      <w:marRight w:val="0"/>
      <w:marTop w:val="0"/>
      <w:marBottom w:val="0"/>
      <w:divBdr>
        <w:top w:val="none" w:sz="0" w:space="0" w:color="auto"/>
        <w:left w:val="none" w:sz="0" w:space="0" w:color="auto"/>
        <w:bottom w:val="none" w:sz="0" w:space="0" w:color="auto"/>
        <w:right w:val="none" w:sz="0" w:space="0" w:color="auto"/>
      </w:divBdr>
    </w:div>
    <w:div w:id="1950971704">
      <w:bodyDiv w:val="1"/>
      <w:marLeft w:val="0"/>
      <w:marRight w:val="0"/>
      <w:marTop w:val="0"/>
      <w:marBottom w:val="0"/>
      <w:divBdr>
        <w:top w:val="none" w:sz="0" w:space="0" w:color="auto"/>
        <w:left w:val="none" w:sz="0" w:space="0" w:color="auto"/>
        <w:bottom w:val="none" w:sz="0" w:space="0" w:color="auto"/>
        <w:right w:val="none" w:sz="0" w:space="0" w:color="auto"/>
      </w:divBdr>
    </w:div>
    <w:div w:id="2035882480">
      <w:bodyDiv w:val="1"/>
      <w:marLeft w:val="0"/>
      <w:marRight w:val="0"/>
      <w:marTop w:val="0"/>
      <w:marBottom w:val="0"/>
      <w:divBdr>
        <w:top w:val="none" w:sz="0" w:space="0" w:color="auto"/>
        <w:left w:val="none" w:sz="0" w:space="0" w:color="auto"/>
        <w:bottom w:val="none" w:sz="0" w:space="0" w:color="auto"/>
        <w:right w:val="none" w:sz="0" w:space="0" w:color="auto"/>
      </w:divBdr>
    </w:div>
    <w:div w:id="205569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entur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centure.com/cz-en/about/company/newsro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Accenture_4_2021.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8D3A6-2019-4BCE-84AF-81A8D639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Accenture_4_2021</Template>
  <TotalTime>2</TotalTime>
  <Pages>4</Pages>
  <Words>1759</Words>
  <Characters>10380</Characters>
  <Application>Microsoft Office Word</Application>
  <DocSecurity>0</DocSecurity>
  <Lines>86</Lines>
  <Paragraphs>24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Accenture</Company>
  <LinksUpToDate>false</LinksUpToDate>
  <CharactersWithSpaces>12115</CharactersWithSpaces>
  <SharedDoc>false</SharedDoc>
  <HyperlinkBase/>
  <HLinks>
    <vt:vector size="18" baseType="variant">
      <vt:variant>
        <vt:i4>7667734</vt:i4>
      </vt:variant>
      <vt:variant>
        <vt:i4>6</vt:i4>
      </vt:variant>
      <vt:variant>
        <vt:i4>0</vt:i4>
      </vt:variant>
      <vt:variant>
        <vt:i4>5</vt:i4>
      </vt:variant>
      <vt:variant>
        <vt:lpwstr>mailto:marketa.cinkova@aspen.pr</vt:lpwstr>
      </vt:variant>
      <vt:variant>
        <vt:lpwstr/>
      </vt:variant>
      <vt:variant>
        <vt:i4>5570607</vt:i4>
      </vt:variant>
      <vt:variant>
        <vt:i4>3</vt:i4>
      </vt:variant>
      <vt:variant>
        <vt:i4>0</vt:i4>
      </vt:variant>
      <vt:variant>
        <vt:i4>5</vt:i4>
      </vt:variant>
      <vt:variant>
        <vt:lpwstr>mailto:petr.jarkovsky@aspen.pr</vt:lpwstr>
      </vt:variant>
      <vt:variant>
        <vt:lpwstr/>
      </vt:variant>
      <vt:variant>
        <vt:i4>5832721</vt:i4>
      </vt:variant>
      <vt:variant>
        <vt:i4>0</vt:i4>
      </vt:variant>
      <vt:variant>
        <vt:i4>0</vt:i4>
      </vt:variant>
      <vt:variant>
        <vt:i4>5</vt:i4>
      </vt:variant>
      <vt:variant>
        <vt:lpwstr>http://www.accenture.com/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dc:description/>
  <cp:lastModifiedBy>Šárka Lachoutová</cp:lastModifiedBy>
  <cp:revision>2</cp:revision>
  <cp:lastPrinted>2004-08-03T08:51:00Z</cp:lastPrinted>
  <dcterms:created xsi:type="dcterms:W3CDTF">2022-02-28T22:46:00Z</dcterms:created>
  <dcterms:modified xsi:type="dcterms:W3CDTF">2022-02-28T22:46:00Z</dcterms:modified>
  <cp:category/>
</cp:coreProperties>
</file>