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2B600" w14:textId="33312846" w:rsidR="002132CC" w:rsidRPr="00BA736B" w:rsidRDefault="002132CC" w:rsidP="00713EFE">
      <w:pPr>
        <w:pStyle w:val="Zkladntext"/>
        <w:spacing w:after="192"/>
        <w:jc w:val="left"/>
        <w:rPr>
          <w:sz w:val="28"/>
          <w:szCs w:val="28"/>
          <w:lang w:val="cs-CZ"/>
        </w:rPr>
      </w:pPr>
      <w:r w:rsidRPr="00BA736B">
        <w:rPr>
          <w:sz w:val="28"/>
          <w:szCs w:val="28"/>
          <w:lang w:val="cs-CZ"/>
        </w:rPr>
        <w:t xml:space="preserve">TISKOVÁ </w:t>
      </w:r>
      <w:r w:rsidR="00FD3156">
        <w:rPr>
          <w:sz w:val="28"/>
          <w:szCs w:val="28"/>
          <w:lang w:val="cs-CZ"/>
        </w:rPr>
        <w:t>INFORMACE</w:t>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Pr="00BA736B">
        <w:rPr>
          <w:sz w:val="28"/>
          <w:szCs w:val="28"/>
          <w:lang w:val="cs-CZ"/>
        </w:rPr>
        <w:tab/>
      </w:r>
      <w:r w:rsidR="00FD3156">
        <w:rPr>
          <w:sz w:val="28"/>
          <w:szCs w:val="28"/>
          <w:lang w:val="cs-CZ"/>
        </w:rPr>
        <w:t>10</w:t>
      </w:r>
      <w:r w:rsidR="0098607C">
        <w:rPr>
          <w:sz w:val="28"/>
          <w:szCs w:val="28"/>
          <w:lang w:val="cs-CZ"/>
        </w:rPr>
        <w:t xml:space="preserve">. </w:t>
      </w:r>
      <w:r w:rsidR="00FD3156">
        <w:rPr>
          <w:sz w:val="28"/>
          <w:szCs w:val="28"/>
          <w:lang w:val="cs-CZ"/>
        </w:rPr>
        <w:t>5</w:t>
      </w:r>
      <w:r w:rsidR="0098607C">
        <w:rPr>
          <w:sz w:val="28"/>
          <w:szCs w:val="28"/>
          <w:lang w:val="cs-CZ"/>
        </w:rPr>
        <w:t>. 202</w:t>
      </w:r>
      <w:r w:rsidR="00FD3156">
        <w:rPr>
          <w:sz w:val="28"/>
          <w:szCs w:val="28"/>
          <w:lang w:val="cs-CZ"/>
        </w:rPr>
        <w:t>2</w:t>
      </w:r>
    </w:p>
    <w:p w14:paraId="400D13B6" w14:textId="77777777" w:rsidR="009C3377" w:rsidRPr="00BA736B" w:rsidRDefault="009C3377" w:rsidP="00FD3156">
      <w:pPr>
        <w:pStyle w:val="Bezmezer"/>
        <w:spacing w:after="192"/>
      </w:pPr>
    </w:p>
    <w:p w14:paraId="41CCFAE8" w14:textId="47898356" w:rsidR="00FD3156" w:rsidRPr="00FD3156" w:rsidRDefault="00FD3156" w:rsidP="00FD3156">
      <w:pPr>
        <w:spacing w:before="280" w:after="192"/>
        <w:rPr>
          <w:b/>
          <w:bCs/>
          <w:sz w:val="24"/>
          <w:szCs w:val="24"/>
        </w:rPr>
      </w:pPr>
      <w:bookmarkStart w:id="0" w:name="_Hlk102983484"/>
      <w:bookmarkStart w:id="1" w:name="OLE_LINK2"/>
      <w:r w:rsidRPr="00FD3156">
        <w:rPr>
          <w:b/>
          <w:bCs/>
          <w:sz w:val="24"/>
          <w:szCs w:val="24"/>
        </w:rPr>
        <w:t xml:space="preserve">Až čtyři z pěti bank migrují svůj mainframe </w:t>
      </w:r>
      <w:bookmarkEnd w:id="0"/>
      <w:r w:rsidRPr="00FD3156">
        <w:rPr>
          <w:b/>
          <w:bCs/>
          <w:sz w:val="24"/>
          <w:szCs w:val="24"/>
        </w:rPr>
        <w:t xml:space="preserve">do cloudu nebo </w:t>
      </w:r>
      <w:r w:rsidR="003C58D8">
        <w:rPr>
          <w:b/>
          <w:bCs/>
          <w:sz w:val="24"/>
          <w:szCs w:val="24"/>
        </w:rPr>
        <w:t>to</w:t>
      </w:r>
      <w:r w:rsidR="003C58D8" w:rsidRPr="00FD3156">
        <w:rPr>
          <w:b/>
          <w:bCs/>
          <w:sz w:val="24"/>
          <w:szCs w:val="24"/>
        </w:rPr>
        <w:t xml:space="preserve"> </w:t>
      </w:r>
      <w:r w:rsidRPr="00FD3156">
        <w:rPr>
          <w:b/>
          <w:bCs/>
          <w:sz w:val="24"/>
          <w:szCs w:val="24"/>
        </w:rPr>
        <w:t>plánují, zjistil nový průzkum Accenture</w:t>
      </w:r>
    </w:p>
    <w:bookmarkEnd w:id="1"/>
    <w:p w14:paraId="5EEC89A9" w14:textId="0DC880D8" w:rsidR="00FD3156" w:rsidRPr="00FD3156" w:rsidRDefault="00FD3156" w:rsidP="00FD3156">
      <w:pPr>
        <w:numPr>
          <w:ilvl w:val="0"/>
          <w:numId w:val="30"/>
        </w:numPr>
        <w:spacing w:after="192"/>
        <w:rPr>
          <w:b/>
          <w:bCs/>
        </w:rPr>
      </w:pPr>
      <w:r w:rsidRPr="00FD3156">
        <w:rPr>
          <w:b/>
          <w:bCs/>
        </w:rPr>
        <w:t xml:space="preserve">Tato migrace je pro banky dalším důležitým krokem směrem k digitální transformaci </w:t>
      </w:r>
    </w:p>
    <w:p w14:paraId="336A09FD" w14:textId="77777777" w:rsidR="00FD3156" w:rsidRPr="00FD3156" w:rsidRDefault="00FD3156" w:rsidP="00FD3156">
      <w:pPr>
        <w:numPr>
          <w:ilvl w:val="0"/>
          <w:numId w:val="30"/>
        </w:numPr>
        <w:spacing w:after="192"/>
        <w:rPr>
          <w:b/>
          <w:bCs/>
        </w:rPr>
      </w:pPr>
      <w:r w:rsidRPr="00FD3156">
        <w:rPr>
          <w:b/>
          <w:bCs/>
        </w:rPr>
        <w:t>Překážkou je nedostatek zaměstnanců s potřebnými dovednostmi</w:t>
      </w:r>
    </w:p>
    <w:p w14:paraId="060DF07A" w14:textId="52EFC113" w:rsidR="00FD3156" w:rsidRPr="00FD3156" w:rsidRDefault="00FD3156" w:rsidP="00FD3156">
      <w:pPr>
        <w:numPr>
          <w:ilvl w:val="0"/>
          <w:numId w:val="30"/>
        </w:numPr>
        <w:spacing w:after="192"/>
        <w:rPr>
          <w:b/>
          <w:bCs/>
        </w:rPr>
      </w:pPr>
      <w:r w:rsidRPr="00FD3156">
        <w:rPr>
          <w:b/>
          <w:bCs/>
        </w:rPr>
        <w:t>Výsledky ukazují, že přesun více než poloviny výpočetní zátěže do cloudu plánuj</w:t>
      </w:r>
      <w:r w:rsidR="003C58D8">
        <w:rPr>
          <w:b/>
          <w:bCs/>
        </w:rPr>
        <w:t>í</w:t>
      </w:r>
      <w:r w:rsidRPr="00FD3156">
        <w:rPr>
          <w:b/>
          <w:bCs/>
        </w:rPr>
        <w:t xml:space="preserve"> více než čtyři z</w:t>
      </w:r>
      <w:r w:rsidR="003C58D8">
        <w:rPr>
          <w:b/>
          <w:bCs/>
        </w:rPr>
        <w:t xml:space="preserve"> pěti </w:t>
      </w:r>
      <w:r w:rsidRPr="00FD3156">
        <w:rPr>
          <w:b/>
          <w:bCs/>
        </w:rPr>
        <w:t>bank (82 %)</w:t>
      </w:r>
    </w:p>
    <w:p w14:paraId="768C7563" w14:textId="77777777" w:rsidR="00FD3156" w:rsidRDefault="00FD3156" w:rsidP="003C58D8">
      <w:pPr>
        <w:pStyle w:val="Bezmezer"/>
        <w:spacing w:after="192"/>
      </w:pPr>
    </w:p>
    <w:p w14:paraId="44D05904" w14:textId="0686A59F" w:rsidR="00FD3156" w:rsidRPr="00FD3156" w:rsidRDefault="00FD3156" w:rsidP="00FD3156">
      <w:pPr>
        <w:spacing w:after="192"/>
      </w:pPr>
      <w:r w:rsidRPr="00FD3156">
        <w:t xml:space="preserve">Banky nyní snižují svou desítky let trvající závislost na starších mainframových technologiích a plánují přesunout významnou část svých klíčových obchodních funkcí do cloudu. Tento krok jim umožní rychleji uvést nové produkty na trh a udržet tak krok s konkurencí. Vyplývá to z nového průzkumu společnosti Accenture s názvem </w:t>
      </w:r>
      <w:hyperlink r:id="rId8" w:history="1">
        <w:r w:rsidRPr="00FD3156">
          <w:rPr>
            <w:rStyle w:val="Hypertextovodkaz"/>
          </w:rPr>
          <w:t>The great cloud mainframe migration: what banks need to know</w:t>
        </w:r>
      </w:hyperlink>
      <w:r w:rsidRPr="00FD3156">
        <w:t>.</w:t>
      </w:r>
    </w:p>
    <w:p w14:paraId="07F3C0F4" w14:textId="52CEE2B3" w:rsidR="00FD3156" w:rsidRPr="00FD3156" w:rsidRDefault="00FD3156" w:rsidP="00FD3156">
      <w:pPr>
        <w:spacing w:after="192"/>
      </w:pPr>
      <w:r w:rsidRPr="00FD3156">
        <w:t>Výsledky ukazují, že přesun více než poloviny výpočetní zátěže do cloudu plánuj</w:t>
      </w:r>
      <w:r w:rsidR="003C58D8">
        <w:t>í</w:t>
      </w:r>
      <w:r w:rsidRPr="00FD3156">
        <w:t xml:space="preserve"> více než čtyři z pěti bank (82 %), téměř každá čtvrtá (22 %) má pak v plánu do cloudu přesunout až 75 % všech úloh</w:t>
      </w:r>
      <w:r w:rsidR="003C58D8">
        <w:t>,</w:t>
      </w:r>
      <w:r w:rsidRPr="00FD3156">
        <w:t xml:space="preserve"> a to v horizontu nadcházejících dvou až pěti let. </w:t>
      </w:r>
    </w:p>
    <w:p w14:paraId="2D3E0398" w14:textId="6A88FD9C" w:rsidR="00FD3156" w:rsidRPr="00FD3156" w:rsidRDefault="00FD3156" w:rsidP="00FD3156">
      <w:pPr>
        <w:spacing w:after="192"/>
      </w:pPr>
      <w:r w:rsidRPr="00FD3156">
        <w:t xml:space="preserve">Mezi nejčastější důvody pro migraci mainframů do cloudu řadí dotazovaní představitelé bank zejména </w:t>
      </w:r>
      <w:r w:rsidRPr="00FD3156">
        <w:rPr>
          <w:b/>
          <w:bCs/>
        </w:rPr>
        <w:t>rychlost a agilitu</w:t>
      </w:r>
      <w:r w:rsidRPr="00FD3156">
        <w:t xml:space="preserve"> (43 %), </w:t>
      </w:r>
      <w:r w:rsidRPr="00FD3156">
        <w:rPr>
          <w:b/>
          <w:bCs/>
        </w:rPr>
        <w:t xml:space="preserve">větší bezpečnost </w:t>
      </w:r>
      <w:r w:rsidRPr="00FD3156">
        <w:t xml:space="preserve">(41 %) a </w:t>
      </w:r>
      <w:r w:rsidRPr="00FD3156">
        <w:rPr>
          <w:b/>
          <w:bCs/>
        </w:rPr>
        <w:t>možnost jednoduše přidat nové funkce</w:t>
      </w:r>
      <w:r w:rsidRPr="00FD3156">
        <w:t xml:space="preserve"> (37</w:t>
      </w:r>
      <w:r w:rsidR="003C58D8">
        <w:t> </w:t>
      </w:r>
      <w:r w:rsidRPr="00FD3156">
        <w:t>%). Tři z pěti vedoucích pracovníků (62 %) si od migrace do cloudu slibují vnitřní míru návratnosti (IRR) svých investic vyšší než 10 % a více než tři čtvrtin</w:t>
      </w:r>
      <w:r w:rsidR="003C58D8">
        <w:t>y</w:t>
      </w:r>
      <w:r w:rsidRPr="00FD3156">
        <w:t xml:space="preserve"> (77 %) očekáv</w:t>
      </w:r>
      <w:r w:rsidR="003C58D8">
        <w:t>ají</w:t>
      </w:r>
      <w:r w:rsidRPr="00FD3156">
        <w:t>, že se jim peníze a úsilí investované do migrace mainframů vrátí během 18 měsíců.</w:t>
      </w:r>
    </w:p>
    <w:p w14:paraId="3F1CA57A" w14:textId="77777777" w:rsidR="00FD3156" w:rsidRPr="00FD3156" w:rsidRDefault="00FD3156" w:rsidP="003C58D8">
      <w:pPr>
        <w:pStyle w:val="Bezmezer"/>
        <w:spacing w:after="192"/>
      </w:pPr>
    </w:p>
    <w:p w14:paraId="49050932" w14:textId="77777777" w:rsidR="00FD3156" w:rsidRPr="00FD3156" w:rsidRDefault="00FD3156" w:rsidP="00FD3156">
      <w:pPr>
        <w:spacing w:after="192"/>
        <w:rPr>
          <w:b/>
          <w:bCs/>
        </w:rPr>
      </w:pPr>
      <w:r w:rsidRPr="00FD3156">
        <w:rPr>
          <w:b/>
          <w:bCs/>
        </w:rPr>
        <w:t>Banky urychlují svůj přesun do cloudu, většina klíčových obchodních funkcí však stále běží na mainframu</w:t>
      </w:r>
    </w:p>
    <w:p w14:paraId="613E8EC4" w14:textId="77777777" w:rsidR="00FD3156" w:rsidRPr="00FD3156" w:rsidRDefault="00FD3156" w:rsidP="00FD3156">
      <w:pPr>
        <w:spacing w:after="192"/>
      </w:pPr>
      <w:r w:rsidRPr="00FD3156">
        <w:t>Mnoho bank již začalo přesouvat některé své aplikace do cloudu, například v rámci systémů zaměřených na zákazníky jako je mobilní a online bankovnictví. U řady svých klíčových obchodních funkcí – včetně evidence klientů, plateb, investic, či rizik – se však banky stále spoléhají na starší mainframovou technologii.</w:t>
      </w:r>
    </w:p>
    <w:p w14:paraId="37F7D99C" w14:textId="1FD0965E" w:rsidR="00FD3156" w:rsidRDefault="00FD3156" w:rsidP="00FD3156">
      <w:pPr>
        <w:spacing w:after="192"/>
      </w:pPr>
      <w:r w:rsidRPr="00FD3156">
        <w:t>„Výsledkem je, že většina základních bankovních produktů jako běžné a spořicí účty funguje na kódu, jenž byl napsán před desítkami let. Zároveň banky čelí výzvám v podobě fintechů. Proto se stále častěji obrací ke cloudu, který jim umožní rychleji inovovat bankovní produkty a udržet si tak konkurenceschopnost v rychle se měnícím prostředí,“ říká Karel Kotoun, senior manažer v oblasti finančních služeb ze společnosti Accenture.</w:t>
      </w:r>
    </w:p>
    <w:p w14:paraId="20255CC2" w14:textId="77777777" w:rsidR="00FD3156" w:rsidRPr="00FD3156" w:rsidRDefault="00FD3156" w:rsidP="0080093E">
      <w:pPr>
        <w:pStyle w:val="Bezmezer"/>
        <w:spacing w:after="192"/>
      </w:pPr>
    </w:p>
    <w:p w14:paraId="3A63F86F" w14:textId="77777777" w:rsidR="00FD3156" w:rsidRPr="00FD3156" w:rsidRDefault="00FD3156" w:rsidP="00FD3156">
      <w:pPr>
        <w:spacing w:after="192"/>
        <w:rPr>
          <w:b/>
          <w:bCs/>
        </w:rPr>
      </w:pPr>
      <w:r w:rsidRPr="00FD3156">
        <w:rPr>
          <w:b/>
          <w:bCs/>
        </w:rPr>
        <w:t>Chybí zaměstnanci s potřebnými znalostmi</w:t>
      </w:r>
    </w:p>
    <w:p w14:paraId="5DD7186B" w14:textId="77777777" w:rsidR="00FD3156" w:rsidRDefault="00FD3156" w:rsidP="00FD3156">
      <w:pPr>
        <w:spacing w:after="192"/>
      </w:pPr>
      <w:r w:rsidRPr="00FD3156">
        <w:t xml:space="preserve">Ty banky, které s přechodem do cloudu váhají, uvádějí jako hlavní důvod obav možné narušení provozu byznysu a také nedostatečnou znalost fungování starého zdrojového kódu. Většina znalostí potřebných k udržení mainframů v provozu se totiž nachází v hlavách těch zaměstnanců, z nichž mnozí pomalu uvažují o odchodu do důchodu. Hrozí tak nedostatek expertů s potřebnými znalostmi, kteří by dokázali staré systémy udržovat v chodu. </w:t>
      </w:r>
    </w:p>
    <w:p w14:paraId="10C426DC" w14:textId="0102A741" w:rsidR="00FD3156" w:rsidRDefault="00FD3156" w:rsidP="00FD3156">
      <w:pPr>
        <w:spacing w:after="192"/>
      </w:pPr>
      <w:r w:rsidRPr="00FD3156">
        <w:t>„Hrozba odchodu zkušených zaměstnanců, kteří umí s mainframy pracovat, by měla přesun do cloudu spíše akcelerovat. Na druhou stranu, k úspěšnému překonání překážek spjatých s migrací do cloudu a k plnému využití všech možností, které cloud nabízí, potřebují banky dostatek talentů se specifickým skillsetem. Těch se jim však nedostává tolik, kolik by bylo potřeba,“ říká Kotoun.</w:t>
      </w:r>
    </w:p>
    <w:p w14:paraId="283E8E19" w14:textId="2476332C" w:rsidR="00FD3156" w:rsidRPr="00FD3156" w:rsidRDefault="00FD3156" w:rsidP="00FD3156">
      <w:pPr>
        <w:spacing w:after="192"/>
        <w:rPr>
          <w:b/>
          <w:bCs/>
        </w:rPr>
      </w:pPr>
      <w:r w:rsidRPr="00FD3156">
        <w:t>Ačkoli poptávka po cloudových expertech i po znalostech cloudové problematiky obecně roste, a to nejen v rámci bank, lze ji řešit například najímáním nových pracovníků, jejich "zapůjčkou" od konzultačních firem či implementačních partnerů, případně zvyšováním kvalifikace stávajících pracovníků. Avšak najít experty, kteří by zároveň měli dostatek zkušeností s legacy systémy, představuje větší výzvu. Bankám se sice daří nabírat nové zaměstnance, nedaří se jim však dlouhodobě udržet ty stávající. Přitom právě znalosti a zkušenost “veteránů”, kteří s mainframy pracovali dlouhá léta, jsou pro úspěšný přechod do cloudu zásadní. Úspěšné banky si proto v</w:t>
      </w:r>
      <w:r w:rsidR="0080093E">
        <w:t> </w:t>
      </w:r>
      <w:r w:rsidRPr="00FD3156">
        <w:t>předstihu vytvářejí plán pro dovednosti, které budou v budoucnu potřebovat, a vyvíjejí strategie pro nábor nových zaměstnanců a rekvalifikaci těch, kteří již ve firmě působí déle.</w:t>
      </w:r>
    </w:p>
    <w:p w14:paraId="02DE0B69" w14:textId="77777777" w:rsidR="00FD3156" w:rsidRPr="00FD3156" w:rsidRDefault="00FD3156" w:rsidP="00FD3156">
      <w:pPr>
        <w:spacing w:after="192"/>
        <w:rPr>
          <w:b/>
          <w:bCs/>
        </w:rPr>
      </w:pPr>
      <w:r w:rsidRPr="00FD3156">
        <w:rPr>
          <w:b/>
          <w:bCs/>
        </w:rPr>
        <w:t>Mezi další klíčová zjištění patří např:</w:t>
      </w:r>
    </w:p>
    <w:p w14:paraId="1DD77737" w14:textId="77777777" w:rsidR="00FD3156" w:rsidRDefault="00FD3156" w:rsidP="00FD3156">
      <w:pPr>
        <w:numPr>
          <w:ilvl w:val="0"/>
          <w:numId w:val="29"/>
        </w:numPr>
        <w:spacing w:after="192"/>
      </w:pPr>
      <w:r w:rsidRPr="00FD3156">
        <w:rPr>
          <w:b/>
          <w:bCs/>
        </w:rPr>
        <w:t xml:space="preserve">Banky vidí v cloudu příležitost pro zvýšení efektivity, jelikož náklady na udržení mainframe rostou. </w:t>
      </w:r>
      <w:r w:rsidRPr="00FD3156">
        <w:t>Naprostá většina (91 %) dotázaných vedoucích pracovníků bank uvedla, že náklady na údržbu mainframů v posledních několika letech vzrostly.</w:t>
      </w:r>
    </w:p>
    <w:p w14:paraId="0090070A" w14:textId="77777777" w:rsidR="00FD3156" w:rsidRDefault="00FD3156" w:rsidP="00FD3156">
      <w:pPr>
        <w:numPr>
          <w:ilvl w:val="0"/>
          <w:numId w:val="29"/>
        </w:numPr>
        <w:spacing w:after="192"/>
      </w:pPr>
      <w:r w:rsidRPr="00FD3156">
        <w:rPr>
          <w:b/>
          <w:bCs/>
        </w:rPr>
        <w:t>Roste hlad po zaměstnancích se specifickým skillsetem.</w:t>
      </w:r>
      <w:r w:rsidRPr="00FD3156">
        <w:t xml:space="preserve"> Dotazovaní bankovní manažeři vidí největší poptávku po dovednostech v oblasti kybernetické bezpečnosti (47 %) a po dovednostech v oblasti cloudových řešení (46 %), včetně schopnosti navrhovat na cloudu založenou virtuální infrastrukturu, platformy i konkrétní aplikace.</w:t>
      </w:r>
    </w:p>
    <w:p w14:paraId="1ACE1669" w14:textId="77777777" w:rsidR="00FD3156" w:rsidRDefault="00FD3156" w:rsidP="00FD3156">
      <w:pPr>
        <w:numPr>
          <w:ilvl w:val="0"/>
          <w:numId w:val="29"/>
        </w:numPr>
        <w:spacing w:after="192"/>
      </w:pPr>
      <w:r w:rsidRPr="00FD3156">
        <w:rPr>
          <w:b/>
          <w:bCs/>
        </w:rPr>
        <w:t>Většina legacy mainframů je stará 5 až 20 let.</w:t>
      </w:r>
      <w:r w:rsidRPr="00FD3156">
        <w:t xml:space="preserve">  Více než polovina (58 %) dotázaných uvedla, že jejich mainframové systémy jsou staré 5 až 10 let, 27 % dotázaných odpovědělo 11 až 20 let a 9 % dotázaných uvedlo stáří bankovního mainframu 21 až 30 let. </w:t>
      </w:r>
    </w:p>
    <w:p w14:paraId="0DBD44C4" w14:textId="440798E1" w:rsidR="00FD3156" w:rsidRPr="00FD3156" w:rsidRDefault="00FD3156" w:rsidP="00FD3156">
      <w:pPr>
        <w:numPr>
          <w:ilvl w:val="0"/>
          <w:numId w:val="29"/>
        </w:numPr>
        <w:spacing w:after="192"/>
      </w:pPr>
      <w:r w:rsidRPr="00FD3156">
        <w:rPr>
          <w:b/>
          <w:bCs/>
        </w:rPr>
        <w:t>Veřejný cloud je nejvíce preferovanou možností pro migraci základních systémů.</w:t>
      </w:r>
      <w:r w:rsidRPr="00FD3156">
        <w:t xml:space="preserve"> Téměř dvě třetiny (63 %) bank plánují přesunout úlohy ze svých mainframů do prostředí veřejného cloudu. Tím si zajistí větší nákladovou efektivitu, flexibilitu a snazší fungování v souladu s</w:t>
      </w:r>
      <w:r w:rsidR="0080093E">
        <w:t> </w:t>
      </w:r>
      <w:r w:rsidRPr="00FD3156">
        <w:t>regulačními předpisy. Přibližně třetina (31 %) pak plánuje využít model hybridního cloudu a</w:t>
      </w:r>
      <w:r w:rsidR="0080093E">
        <w:t> </w:t>
      </w:r>
      <w:r w:rsidRPr="00FD3156">
        <w:t>pouhých 6 % plánuje využít privátní cloud.</w:t>
      </w:r>
    </w:p>
    <w:p w14:paraId="3103D045" w14:textId="77777777" w:rsidR="00FD3156" w:rsidRPr="00FD3156" w:rsidRDefault="00FD3156" w:rsidP="00FD3156">
      <w:pPr>
        <w:spacing w:after="192"/>
      </w:pPr>
      <w:r w:rsidRPr="00FD3156">
        <w:lastRenderedPageBreak/>
        <w:t xml:space="preserve">Globální průzkum, ze kterého zpráva vychází, byl uskutečněn mezi 150 vedoucími pracovníky bank, které již začaly migrovat své mainframy do cloudu či tak mají v plánu učinit v nejbližší době. </w:t>
      </w:r>
    </w:p>
    <w:p w14:paraId="7A59C253" w14:textId="746D5061" w:rsidR="00FD3156" w:rsidRDefault="00FD3156" w:rsidP="00FD3156">
      <w:pPr>
        <w:spacing w:after="192"/>
      </w:pPr>
      <w:r w:rsidRPr="00FD3156">
        <w:t>Celou zprávu s více informacemi si můžete přečíst "</w:t>
      </w:r>
      <w:bookmarkStart w:id="2" w:name="OLE_LINK1"/>
      <w:r w:rsidRPr="00FD3156">
        <w:fldChar w:fldCharType="begin"/>
      </w:r>
      <w:r w:rsidRPr="00FD3156">
        <w:instrText xml:space="preserve"> HYPERLINK "https://bankingblog.accenture.com/banking-cloud-altimeter-magazine/volume-4-bank-cloud-mainframe-migration" </w:instrText>
      </w:r>
      <w:r w:rsidRPr="00FD3156">
        <w:fldChar w:fldCharType="separate"/>
      </w:r>
      <w:r w:rsidRPr="00FD3156">
        <w:rPr>
          <w:rStyle w:val="Hypertextovodkaz"/>
        </w:rPr>
        <w:t>The great cloud mainframe migration: what banks need to know</w:t>
      </w:r>
      <w:r w:rsidRPr="00FD3156">
        <w:fldChar w:fldCharType="end"/>
      </w:r>
      <w:bookmarkEnd w:id="2"/>
      <w:r w:rsidRPr="00FD3156">
        <w:t>".</w:t>
      </w:r>
    </w:p>
    <w:p w14:paraId="20B18EF4" w14:textId="77777777" w:rsidR="00FD3156" w:rsidRPr="00FD3156" w:rsidRDefault="00FD3156" w:rsidP="00FD3156">
      <w:pPr>
        <w:spacing w:after="192"/>
      </w:pPr>
    </w:p>
    <w:p w14:paraId="6080F37F" w14:textId="77777777" w:rsidR="00FD3156" w:rsidRPr="00FD3156" w:rsidRDefault="00FD3156" w:rsidP="00FD3156">
      <w:pPr>
        <w:spacing w:after="192"/>
        <w:rPr>
          <w:b/>
          <w:bCs/>
        </w:rPr>
      </w:pPr>
      <w:bookmarkStart w:id="3" w:name="_Hlk103070662"/>
      <w:r w:rsidRPr="00FD3156">
        <w:rPr>
          <w:b/>
          <w:bCs/>
        </w:rPr>
        <w:t>O společnosti Accenture</w:t>
      </w:r>
    </w:p>
    <w:p w14:paraId="3712896A" w14:textId="57B465BE" w:rsidR="0080093E" w:rsidRDefault="00FD3156" w:rsidP="00FD3156">
      <w:pPr>
        <w:spacing w:after="192"/>
        <w:rPr>
          <w:u w:val="single"/>
        </w:rPr>
      </w:pPr>
      <w:r w:rsidRPr="00FD3156">
        <w:t>Accenture je globální společnost poskytující profesionální služby v oblasti digitalizace, cloudu a</w:t>
      </w:r>
      <w:r w:rsidR="008B6E2E">
        <w:t> </w:t>
      </w:r>
      <w:r w:rsidRPr="00FD3156">
        <w:t>kybernetické bezpečnosti. Díky propojení zkušeností a specializovaných dovedností ve více než 40 průmyslových odvětvích nabízíme služby v oblastech poradenství &amp; strategie, Interactive, Technology a Operations – a to díky podpoře největší celosvětové sítě Advanced Technology a Intelligent Operations center. Našich 699 000 zaměstnanců využívá možnosti nejnovějších technologií i lidské vynalézavosti v práci pro klienty ve více než 120 zemích. Díky síle změn vytváříme hodnoty a</w:t>
      </w:r>
      <w:r w:rsidR="008B6E2E">
        <w:t> </w:t>
      </w:r>
      <w:r w:rsidRPr="00FD3156">
        <w:t xml:space="preserve">zvyšujeme úspěšnost našich klientů, lidí, akcionářů, partnerů i celé společnosti. Navštivte nás na www.accenture.com nebo </w:t>
      </w:r>
      <w:hyperlink r:id="rId9" w:history="1">
        <w:r w:rsidRPr="00FD3156">
          <w:rPr>
            <w:rStyle w:val="Hypertextovodkaz"/>
          </w:rPr>
          <w:t>https://www.accenture.com/cz-en/about/company/newsroom</w:t>
        </w:r>
      </w:hyperlink>
      <w:r w:rsidR="0080093E">
        <w:rPr>
          <w:u w:val="single"/>
        </w:rPr>
        <w:t>.</w:t>
      </w:r>
    </w:p>
    <w:p w14:paraId="1C5CC27F" w14:textId="77777777" w:rsidR="0080093E" w:rsidRDefault="0080093E" w:rsidP="0080093E">
      <w:pPr>
        <w:pStyle w:val="Textkomente"/>
        <w:spacing w:after="192"/>
        <w:contextualSpacing/>
        <w:rPr>
          <w:b/>
          <w:bCs/>
          <w:snapToGrid/>
          <w:sz w:val="16"/>
          <w:szCs w:val="16"/>
        </w:rPr>
      </w:pPr>
      <w:r>
        <w:rPr>
          <w:b/>
          <w:bCs/>
          <w:sz w:val="16"/>
          <w:szCs w:val="16"/>
        </w:rPr>
        <w:t xml:space="preserve">Kontakt pro média: </w:t>
      </w:r>
      <w:r>
        <w:rPr>
          <w:b/>
          <w:bCs/>
          <w:sz w:val="16"/>
          <w:szCs w:val="16"/>
        </w:rPr>
        <w:tab/>
      </w:r>
    </w:p>
    <w:p w14:paraId="2D9E316B" w14:textId="77777777" w:rsidR="0080093E" w:rsidRDefault="0080093E" w:rsidP="0080093E">
      <w:pPr>
        <w:pStyle w:val="Textkomente"/>
        <w:spacing w:after="192"/>
        <w:contextualSpacing/>
        <w:rPr>
          <w:sz w:val="16"/>
          <w:szCs w:val="16"/>
        </w:rPr>
      </w:pPr>
      <w:r>
        <w:rPr>
          <w:sz w:val="16"/>
          <w:szCs w:val="16"/>
        </w:rPr>
        <w:t>Lukáš Vejnar, lukas.vejnar@accenture.com, 605 067 979</w:t>
      </w:r>
    </w:p>
    <w:p w14:paraId="28DAA0F3" w14:textId="77777777" w:rsidR="0080093E" w:rsidRDefault="0080093E" w:rsidP="0080093E">
      <w:pPr>
        <w:pStyle w:val="Textkomente"/>
        <w:spacing w:after="192"/>
        <w:contextualSpacing/>
        <w:rPr>
          <w:sz w:val="16"/>
          <w:szCs w:val="16"/>
        </w:rPr>
      </w:pPr>
      <w:r>
        <w:rPr>
          <w:sz w:val="16"/>
          <w:szCs w:val="16"/>
        </w:rPr>
        <w:t>Petr Jarkovský, petr.jarkovsky@aspen.pr, 774 225 153</w:t>
      </w:r>
    </w:p>
    <w:p w14:paraId="665D6444" w14:textId="134A85EE" w:rsidR="0080093E" w:rsidRDefault="0080093E" w:rsidP="0080093E">
      <w:pPr>
        <w:pStyle w:val="Textkomente"/>
        <w:spacing w:after="192"/>
        <w:rPr>
          <w:sz w:val="16"/>
          <w:szCs w:val="16"/>
        </w:rPr>
      </w:pPr>
      <w:r>
        <w:rPr>
          <w:sz w:val="16"/>
          <w:szCs w:val="16"/>
        </w:rPr>
        <w:t>Markéta Ciňková, marketa.cinkova@aspen.pr, 724 012 612</w:t>
      </w:r>
    </w:p>
    <w:bookmarkEnd w:id="3"/>
    <w:p w14:paraId="4E0A2707" w14:textId="4A6C43AD" w:rsidR="00FD3156" w:rsidRPr="00FD3156" w:rsidRDefault="00FD3156" w:rsidP="00FD3156">
      <w:pPr>
        <w:spacing w:after="192"/>
      </w:pPr>
    </w:p>
    <w:sectPr w:rsidR="00FD3156" w:rsidRPr="00FD3156" w:rsidSect="003006BF">
      <w:headerReference w:type="default" r:id="rId10"/>
      <w:type w:val="continuous"/>
      <w:pgSz w:w="11907" w:h="16840"/>
      <w:pgMar w:top="1701" w:right="1418" w:bottom="1418" w:left="1418"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60A40" w14:textId="77777777" w:rsidR="00E1078D" w:rsidRDefault="00E1078D">
      <w:pPr>
        <w:spacing w:after="192"/>
        <w:rPr>
          <w:rFonts w:ascii="Times New Roman" w:hAnsi="Times New Roman"/>
        </w:rPr>
      </w:pPr>
      <w:r>
        <w:rPr>
          <w:rFonts w:ascii="Times New Roman" w:hAnsi="Times New Roman"/>
        </w:rPr>
        <w:separator/>
      </w:r>
    </w:p>
  </w:endnote>
  <w:endnote w:type="continuationSeparator" w:id="0">
    <w:p w14:paraId="732DC25C" w14:textId="77777777" w:rsidR="00E1078D" w:rsidRDefault="00E1078D">
      <w:pPr>
        <w:spacing w:after="192"/>
        <w:rPr>
          <w:rFonts w:ascii="Times New Roman" w:hAnsi="Times New Roman"/>
        </w:rPr>
      </w:pPr>
      <w:r>
        <w:rPr>
          <w:rFonts w:ascii="Times New Roman" w:hAnsi="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324F3" w14:textId="77777777" w:rsidR="00E1078D" w:rsidRDefault="00E1078D">
      <w:pPr>
        <w:spacing w:after="192"/>
        <w:rPr>
          <w:rFonts w:ascii="Times New Roman" w:hAnsi="Times New Roman"/>
        </w:rPr>
      </w:pPr>
      <w:r>
        <w:rPr>
          <w:rFonts w:ascii="Times New Roman" w:hAnsi="Times New Roman"/>
        </w:rPr>
        <w:separator/>
      </w:r>
    </w:p>
  </w:footnote>
  <w:footnote w:type="continuationSeparator" w:id="0">
    <w:p w14:paraId="3D5D6EE8" w14:textId="77777777" w:rsidR="00E1078D" w:rsidRDefault="00E1078D">
      <w:pPr>
        <w:spacing w:after="192"/>
        <w:rPr>
          <w:rFonts w:ascii="Times New Roman" w:hAnsi="Times New Roman"/>
        </w:rPr>
      </w:pPr>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843" w:type="dxa"/>
      <w:tblBorders>
        <w:top w:val="dotted" w:sz="4" w:space="0" w:color="FFFFFF"/>
        <w:left w:val="dotted" w:sz="4" w:space="0" w:color="FFFFFF"/>
        <w:bottom w:val="dotted" w:sz="4" w:space="0" w:color="FFFFFF"/>
        <w:right w:val="dotted" w:sz="4" w:space="0" w:color="FFFFFF"/>
        <w:insideV w:val="dotted" w:sz="4" w:space="0" w:color="FFFFFF"/>
      </w:tblBorders>
      <w:tblLayout w:type="fixed"/>
      <w:tblLook w:val="0000" w:firstRow="0" w:lastRow="0" w:firstColumn="0" w:lastColumn="0" w:noHBand="0" w:noVBand="0"/>
    </w:tblPr>
    <w:tblGrid>
      <w:gridCol w:w="5973"/>
      <w:gridCol w:w="4870"/>
    </w:tblGrid>
    <w:tr w:rsidR="002132CC" w14:paraId="5E023C56" w14:textId="77777777" w:rsidTr="00DF79C4">
      <w:trPr>
        <w:trHeight w:val="1979"/>
      </w:trPr>
      <w:tc>
        <w:tcPr>
          <w:tcW w:w="5973" w:type="dxa"/>
        </w:tcPr>
        <w:p w14:paraId="3C6F87DF" w14:textId="07556586" w:rsidR="002132CC" w:rsidRDefault="004043E5">
          <w:pPr>
            <w:pStyle w:val="Zhlav"/>
            <w:spacing w:before="60" w:after="192"/>
            <w:rPr>
              <w:rFonts w:ascii="Times New Roman" w:hAnsi="Times New Roman"/>
            </w:rPr>
          </w:pPr>
          <w:r>
            <w:drawing>
              <wp:anchor distT="0" distB="0" distL="114300" distR="114300" simplePos="0" relativeHeight="251657728" behindDoc="1" locked="0" layoutInCell="1" allowOverlap="1" wp14:anchorId="61974BEE" wp14:editId="3319FEEC">
                <wp:simplePos x="0" y="0"/>
                <wp:positionH relativeFrom="column">
                  <wp:posOffset>-2463165</wp:posOffset>
                </wp:positionH>
                <wp:positionV relativeFrom="paragraph">
                  <wp:posOffset>635</wp:posOffset>
                </wp:positionV>
                <wp:extent cx="2187575" cy="1038225"/>
                <wp:effectExtent l="0" t="0" r="0" b="0"/>
                <wp:wrapTight wrapText="bothSides">
                  <wp:wrapPolygon edited="0">
                    <wp:start x="0" y="396"/>
                    <wp:lineTo x="0" y="21402"/>
                    <wp:lineTo x="21443" y="21402"/>
                    <wp:lineTo x="21443" y="396"/>
                    <wp:lineTo x="0" y="396"/>
                  </wp:wrapPolygon>
                </wp:wrapTigh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t="-6863"/>
                        <a:stretch>
                          <a:fillRect/>
                        </a:stretch>
                      </pic:blipFill>
                      <pic:spPr bwMode="auto">
                        <a:xfrm>
                          <a:off x="0" y="0"/>
                          <a:ext cx="2187575" cy="1038225"/>
                        </a:xfrm>
                        <a:prstGeom prst="rect">
                          <a:avLst/>
                        </a:prstGeom>
                        <a:noFill/>
                      </pic:spPr>
                    </pic:pic>
                  </a:graphicData>
                </a:graphic>
                <wp14:sizeRelH relativeFrom="page">
                  <wp14:pctWidth>0</wp14:pctWidth>
                </wp14:sizeRelH>
                <wp14:sizeRelV relativeFrom="page">
                  <wp14:pctHeight>0</wp14:pctHeight>
                </wp14:sizeRelV>
              </wp:anchor>
            </w:drawing>
          </w:r>
        </w:p>
      </w:tc>
      <w:tc>
        <w:tcPr>
          <w:tcW w:w="4870" w:type="dxa"/>
        </w:tcPr>
        <w:p w14:paraId="1DBC5B2B" w14:textId="77777777" w:rsidR="002132CC" w:rsidRPr="000663DE" w:rsidRDefault="002132CC" w:rsidP="000663DE">
          <w:pPr>
            <w:spacing w:after="192"/>
          </w:pPr>
        </w:p>
      </w:tc>
    </w:tr>
  </w:tbl>
  <w:p w14:paraId="16D1A688" w14:textId="77777777" w:rsidR="002132CC" w:rsidRDefault="002132CC">
    <w:pPr>
      <w:pStyle w:val="Zhlav"/>
      <w:spacing w:after="192"/>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128AB"/>
    <w:multiLevelType w:val="singleLevel"/>
    <w:tmpl w:val="08090005"/>
    <w:lvl w:ilvl="0">
      <w:start w:val="1"/>
      <w:numFmt w:val="bullet"/>
      <w:lvlText w:val=""/>
      <w:lvlJc w:val="left"/>
      <w:pPr>
        <w:tabs>
          <w:tab w:val="num" w:pos="360"/>
        </w:tabs>
        <w:ind w:left="360" w:hanging="360"/>
      </w:pPr>
      <w:rPr>
        <w:rFonts w:ascii="Wingdings" w:hAnsi="Wingdings" w:cs="Times New Roman" w:hint="default"/>
      </w:rPr>
    </w:lvl>
  </w:abstractNum>
  <w:abstractNum w:abstractNumId="1" w15:restartNumberingAfterBreak="0">
    <w:nsid w:val="0B5C7C89"/>
    <w:multiLevelType w:val="hybridMultilevel"/>
    <w:tmpl w:val="D6AC098A"/>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 w15:restartNumberingAfterBreak="0">
    <w:nsid w:val="0C9437FF"/>
    <w:multiLevelType w:val="hybridMultilevel"/>
    <w:tmpl w:val="0DD2990E"/>
    <w:lvl w:ilvl="0" w:tplc="FB7C63CC">
      <w:start w:val="5"/>
      <w:numFmt w:val="bullet"/>
      <w:lvlText w:val=""/>
      <w:lvlJc w:val="left"/>
      <w:pPr>
        <w:ind w:left="720" w:hanging="360"/>
      </w:pPr>
      <w:rPr>
        <w:rFonts w:ascii="Symbol" w:eastAsia="Times New Roman"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3" w15:restartNumberingAfterBreak="0">
    <w:nsid w:val="0D9C5ADB"/>
    <w:multiLevelType w:val="hybridMultilevel"/>
    <w:tmpl w:val="315E28EA"/>
    <w:lvl w:ilvl="0" w:tplc="04050001">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4" w15:restartNumberingAfterBreak="0">
    <w:nsid w:val="165901E4"/>
    <w:multiLevelType w:val="hybridMultilevel"/>
    <w:tmpl w:val="21762D4C"/>
    <w:lvl w:ilvl="0" w:tplc="04090001">
      <w:start w:val="1"/>
      <w:numFmt w:val="bullet"/>
      <w:lvlText w:val=""/>
      <w:lvlJc w:val="left"/>
      <w:pPr>
        <w:ind w:left="1080" w:hanging="360"/>
      </w:pPr>
      <w:rPr>
        <w:rFonts w:ascii="Symbol" w:hAnsi="Symbo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Times New Roman" w:hint="default"/>
      </w:rPr>
    </w:lvl>
    <w:lvl w:ilvl="3" w:tplc="04090001">
      <w:start w:val="1"/>
      <w:numFmt w:val="bullet"/>
      <w:lvlText w:val=""/>
      <w:lvlJc w:val="left"/>
      <w:pPr>
        <w:ind w:left="3240" w:hanging="360"/>
      </w:pPr>
      <w:rPr>
        <w:rFonts w:ascii="Symbol" w:hAnsi="Symbol" w:cs="Times New Roman"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Times New Roman" w:hint="default"/>
      </w:rPr>
    </w:lvl>
    <w:lvl w:ilvl="6" w:tplc="04090001">
      <w:start w:val="1"/>
      <w:numFmt w:val="bullet"/>
      <w:lvlText w:val=""/>
      <w:lvlJc w:val="left"/>
      <w:pPr>
        <w:ind w:left="5400" w:hanging="360"/>
      </w:pPr>
      <w:rPr>
        <w:rFonts w:ascii="Symbol" w:hAnsi="Symbol" w:cs="Times New Roman"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Times New Roman" w:hint="default"/>
      </w:rPr>
    </w:lvl>
  </w:abstractNum>
  <w:abstractNum w:abstractNumId="5" w15:restartNumberingAfterBreak="0">
    <w:nsid w:val="1C202BBE"/>
    <w:multiLevelType w:val="hybridMultilevel"/>
    <w:tmpl w:val="86143E16"/>
    <w:lvl w:ilvl="0" w:tplc="04050001">
      <w:start w:val="1"/>
      <w:numFmt w:val="bullet"/>
      <w:lvlText w:val=""/>
      <w:lvlJc w:val="left"/>
      <w:pPr>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6" w15:restartNumberingAfterBreak="0">
    <w:nsid w:val="29EE5719"/>
    <w:multiLevelType w:val="hybridMultilevel"/>
    <w:tmpl w:val="3266E120"/>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7" w15:restartNumberingAfterBreak="0">
    <w:nsid w:val="31C3335C"/>
    <w:multiLevelType w:val="hybridMultilevel"/>
    <w:tmpl w:val="C6482AFA"/>
    <w:lvl w:ilvl="0" w:tplc="B65C9F1E">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3447F91"/>
    <w:multiLevelType w:val="hybridMultilevel"/>
    <w:tmpl w:val="6E4CC458"/>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9" w15:restartNumberingAfterBreak="0">
    <w:nsid w:val="36715195"/>
    <w:multiLevelType w:val="hybridMultilevel"/>
    <w:tmpl w:val="0E1E11D6"/>
    <w:lvl w:ilvl="0" w:tplc="04090001">
      <w:start w:val="1"/>
      <w:numFmt w:val="bullet"/>
      <w:lvlText w:val=""/>
      <w:lvlJc w:val="left"/>
      <w:pPr>
        <w:ind w:left="360" w:hanging="360"/>
      </w:pPr>
      <w:rPr>
        <w:rFonts w:ascii="Symbol" w:hAnsi="Symbol"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cs="Times New Roman" w:hint="default"/>
      </w:rPr>
    </w:lvl>
    <w:lvl w:ilvl="3" w:tplc="04090001">
      <w:start w:val="1"/>
      <w:numFmt w:val="bullet"/>
      <w:lvlText w:val=""/>
      <w:lvlJc w:val="left"/>
      <w:pPr>
        <w:ind w:left="2520" w:hanging="360"/>
      </w:pPr>
      <w:rPr>
        <w:rFonts w:ascii="Symbol" w:hAnsi="Symbol" w:cs="Times New Roman"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cs="Times New Roman" w:hint="default"/>
      </w:rPr>
    </w:lvl>
    <w:lvl w:ilvl="6" w:tplc="04090001">
      <w:start w:val="1"/>
      <w:numFmt w:val="bullet"/>
      <w:lvlText w:val=""/>
      <w:lvlJc w:val="left"/>
      <w:pPr>
        <w:ind w:left="4680" w:hanging="360"/>
      </w:pPr>
      <w:rPr>
        <w:rFonts w:ascii="Symbol" w:hAnsi="Symbol" w:cs="Times New Roman"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cs="Times New Roman" w:hint="default"/>
      </w:rPr>
    </w:lvl>
  </w:abstractNum>
  <w:abstractNum w:abstractNumId="10" w15:restartNumberingAfterBreak="0">
    <w:nsid w:val="373235F5"/>
    <w:multiLevelType w:val="hybridMultilevel"/>
    <w:tmpl w:val="7A3E3818"/>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1" w15:restartNumberingAfterBreak="0">
    <w:nsid w:val="426F4EC9"/>
    <w:multiLevelType w:val="hybridMultilevel"/>
    <w:tmpl w:val="A1DAAB3E"/>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2DF29D8"/>
    <w:multiLevelType w:val="hybridMultilevel"/>
    <w:tmpl w:val="14045964"/>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13" w15:restartNumberingAfterBreak="0">
    <w:nsid w:val="487579BC"/>
    <w:multiLevelType w:val="hybridMultilevel"/>
    <w:tmpl w:val="5B82F634"/>
    <w:lvl w:ilvl="0" w:tplc="E31679F6">
      <w:start w:val="3"/>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4B315A66"/>
    <w:multiLevelType w:val="hybridMultilevel"/>
    <w:tmpl w:val="7708EE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5C87794E"/>
    <w:multiLevelType w:val="hybridMultilevel"/>
    <w:tmpl w:val="CD3C2D64"/>
    <w:lvl w:ilvl="0" w:tplc="04090001">
      <w:start w:val="1"/>
      <w:numFmt w:val="bullet"/>
      <w:lvlText w:val=""/>
      <w:lvlJc w:val="left"/>
      <w:pPr>
        <w:ind w:left="1080" w:hanging="360"/>
      </w:pPr>
      <w:rPr>
        <w:rFonts w:ascii="Symbol" w:hAnsi="Symbol" w:cs="Times New Roman" w:hint="default"/>
      </w:rPr>
    </w:lvl>
    <w:lvl w:ilvl="1" w:tplc="04090019">
      <w:start w:val="1"/>
      <w:numFmt w:val="lowerLetter"/>
      <w:lvlText w:val="%2."/>
      <w:lvlJc w:val="left"/>
      <w:pPr>
        <w:ind w:left="1800" w:hanging="360"/>
      </w:pPr>
      <w:rPr>
        <w:rFonts w:ascii="Times New Roman" w:hAnsi="Times New Roman" w:cs="Times New Roman"/>
      </w:rPr>
    </w:lvl>
    <w:lvl w:ilvl="2" w:tplc="0409001B">
      <w:start w:val="1"/>
      <w:numFmt w:val="lowerRoman"/>
      <w:lvlText w:val="%3."/>
      <w:lvlJc w:val="right"/>
      <w:pPr>
        <w:ind w:left="2520" w:hanging="180"/>
      </w:pPr>
      <w:rPr>
        <w:rFonts w:ascii="Times New Roman" w:hAnsi="Times New Roman" w:cs="Times New Roman"/>
      </w:rPr>
    </w:lvl>
    <w:lvl w:ilvl="3" w:tplc="0409000F">
      <w:start w:val="1"/>
      <w:numFmt w:val="decimal"/>
      <w:lvlText w:val="%4."/>
      <w:lvlJc w:val="left"/>
      <w:pPr>
        <w:ind w:left="3240" w:hanging="360"/>
      </w:pPr>
      <w:rPr>
        <w:rFonts w:ascii="Times New Roman" w:hAnsi="Times New Roman" w:cs="Times New Roman"/>
      </w:rPr>
    </w:lvl>
    <w:lvl w:ilvl="4" w:tplc="04090019">
      <w:start w:val="1"/>
      <w:numFmt w:val="lowerLetter"/>
      <w:lvlText w:val="%5."/>
      <w:lvlJc w:val="left"/>
      <w:pPr>
        <w:ind w:left="3960" w:hanging="360"/>
      </w:pPr>
      <w:rPr>
        <w:rFonts w:ascii="Times New Roman" w:hAnsi="Times New Roman" w:cs="Times New Roman"/>
      </w:rPr>
    </w:lvl>
    <w:lvl w:ilvl="5" w:tplc="0409001B">
      <w:start w:val="1"/>
      <w:numFmt w:val="lowerRoman"/>
      <w:lvlText w:val="%6."/>
      <w:lvlJc w:val="right"/>
      <w:pPr>
        <w:ind w:left="4680" w:hanging="180"/>
      </w:pPr>
      <w:rPr>
        <w:rFonts w:ascii="Times New Roman" w:hAnsi="Times New Roman" w:cs="Times New Roman"/>
      </w:rPr>
    </w:lvl>
    <w:lvl w:ilvl="6" w:tplc="0409000F">
      <w:start w:val="1"/>
      <w:numFmt w:val="decimal"/>
      <w:lvlText w:val="%7."/>
      <w:lvlJc w:val="left"/>
      <w:pPr>
        <w:ind w:left="5400" w:hanging="360"/>
      </w:pPr>
      <w:rPr>
        <w:rFonts w:ascii="Times New Roman" w:hAnsi="Times New Roman" w:cs="Times New Roman"/>
      </w:rPr>
    </w:lvl>
    <w:lvl w:ilvl="7" w:tplc="04090019">
      <w:start w:val="1"/>
      <w:numFmt w:val="lowerLetter"/>
      <w:lvlText w:val="%8."/>
      <w:lvlJc w:val="left"/>
      <w:pPr>
        <w:ind w:left="6120" w:hanging="360"/>
      </w:pPr>
      <w:rPr>
        <w:rFonts w:ascii="Times New Roman" w:hAnsi="Times New Roman" w:cs="Times New Roman"/>
      </w:rPr>
    </w:lvl>
    <w:lvl w:ilvl="8" w:tplc="0409001B">
      <w:start w:val="1"/>
      <w:numFmt w:val="lowerRoman"/>
      <w:lvlText w:val="%9."/>
      <w:lvlJc w:val="right"/>
      <w:pPr>
        <w:ind w:left="6840" w:hanging="180"/>
      </w:pPr>
      <w:rPr>
        <w:rFonts w:ascii="Times New Roman" w:hAnsi="Times New Roman" w:cs="Times New Roman"/>
      </w:rPr>
    </w:lvl>
  </w:abstractNum>
  <w:abstractNum w:abstractNumId="16" w15:restartNumberingAfterBreak="0">
    <w:nsid w:val="606F4DCF"/>
    <w:multiLevelType w:val="hybridMultilevel"/>
    <w:tmpl w:val="680287A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15:restartNumberingAfterBreak="0">
    <w:nsid w:val="63673F3B"/>
    <w:multiLevelType w:val="hybridMultilevel"/>
    <w:tmpl w:val="0AF6C7FE"/>
    <w:lvl w:ilvl="0" w:tplc="E708D6E4">
      <w:start w:val="1"/>
      <w:numFmt w:val="bullet"/>
      <w:lvlText w:val=""/>
      <w:lvlJc w:val="left"/>
      <w:pPr>
        <w:ind w:left="360" w:hanging="360"/>
      </w:pPr>
      <w:rPr>
        <w:rFonts w:ascii="Symbol" w:hAnsi="Symbol" w:cs="Times New Roman" w:hint="default"/>
      </w:rPr>
    </w:lvl>
    <w:lvl w:ilvl="1" w:tplc="04050003">
      <w:start w:val="1"/>
      <w:numFmt w:val="bullet"/>
      <w:lvlText w:val="o"/>
      <w:lvlJc w:val="left"/>
      <w:pPr>
        <w:ind w:left="1080" w:hanging="360"/>
      </w:pPr>
      <w:rPr>
        <w:rFonts w:ascii="Courier New" w:hAnsi="Courier New" w:cs="Courier New" w:hint="default"/>
      </w:rPr>
    </w:lvl>
    <w:lvl w:ilvl="2" w:tplc="04050005">
      <w:start w:val="1"/>
      <w:numFmt w:val="bullet"/>
      <w:lvlText w:val=""/>
      <w:lvlJc w:val="left"/>
      <w:pPr>
        <w:ind w:left="1800" w:hanging="360"/>
      </w:pPr>
      <w:rPr>
        <w:rFonts w:ascii="Wingdings" w:hAnsi="Wingdings" w:cs="Times New Roman" w:hint="default"/>
      </w:rPr>
    </w:lvl>
    <w:lvl w:ilvl="3" w:tplc="04050001">
      <w:start w:val="1"/>
      <w:numFmt w:val="bullet"/>
      <w:lvlText w:val=""/>
      <w:lvlJc w:val="left"/>
      <w:pPr>
        <w:ind w:left="2520" w:hanging="360"/>
      </w:pPr>
      <w:rPr>
        <w:rFonts w:ascii="Symbol" w:hAnsi="Symbol" w:cs="Times New Roman" w:hint="default"/>
      </w:rPr>
    </w:lvl>
    <w:lvl w:ilvl="4" w:tplc="04050003">
      <w:start w:val="1"/>
      <w:numFmt w:val="bullet"/>
      <w:lvlText w:val="o"/>
      <w:lvlJc w:val="left"/>
      <w:pPr>
        <w:ind w:left="3240" w:hanging="360"/>
      </w:pPr>
      <w:rPr>
        <w:rFonts w:ascii="Courier New" w:hAnsi="Courier New" w:cs="Courier New" w:hint="default"/>
      </w:rPr>
    </w:lvl>
    <w:lvl w:ilvl="5" w:tplc="04050005">
      <w:start w:val="1"/>
      <w:numFmt w:val="bullet"/>
      <w:lvlText w:val=""/>
      <w:lvlJc w:val="left"/>
      <w:pPr>
        <w:ind w:left="3960" w:hanging="360"/>
      </w:pPr>
      <w:rPr>
        <w:rFonts w:ascii="Wingdings" w:hAnsi="Wingdings" w:cs="Times New Roman" w:hint="default"/>
      </w:rPr>
    </w:lvl>
    <w:lvl w:ilvl="6" w:tplc="04050001">
      <w:start w:val="1"/>
      <w:numFmt w:val="bullet"/>
      <w:lvlText w:val=""/>
      <w:lvlJc w:val="left"/>
      <w:pPr>
        <w:ind w:left="4680" w:hanging="360"/>
      </w:pPr>
      <w:rPr>
        <w:rFonts w:ascii="Symbol" w:hAnsi="Symbol" w:cs="Times New Roman" w:hint="default"/>
      </w:rPr>
    </w:lvl>
    <w:lvl w:ilvl="7" w:tplc="04050003">
      <w:start w:val="1"/>
      <w:numFmt w:val="bullet"/>
      <w:lvlText w:val="o"/>
      <w:lvlJc w:val="left"/>
      <w:pPr>
        <w:ind w:left="5400" w:hanging="360"/>
      </w:pPr>
      <w:rPr>
        <w:rFonts w:ascii="Courier New" w:hAnsi="Courier New" w:cs="Courier New" w:hint="default"/>
      </w:rPr>
    </w:lvl>
    <w:lvl w:ilvl="8" w:tplc="04050005">
      <w:start w:val="1"/>
      <w:numFmt w:val="bullet"/>
      <w:lvlText w:val=""/>
      <w:lvlJc w:val="left"/>
      <w:pPr>
        <w:ind w:left="6120" w:hanging="360"/>
      </w:pPr>
      <w:rPr>
        <w:rFonts w:ascii="Wingdings" w:hAnsi="Wingdings" w:cs="Times New Roman" w:hint="default"/>
      </w:rPr>
    </w:lvl>
  </w:abstractNum>
  <w:abstractNum w:abstractNumId="18" w15:restartNumberingAfterBreak="0">
    <w:nsid w:val="6439383B"/>
    <w:multiLevelType w:val="hybridMultilevel"/>
    <w:tmpl w:val="CEEE00A8"/>
    <w:lvl w:ilvl="0" w:tplc="04050001">
      <w:start w:val="1"/>
      <w:numFmt w:val="bullet"/>
      <w:lvlText w:val=""/>
      <w:lvlJc w:val="left"/>
      <w:pPr>
        <w:ind w:left="144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9" w15:restartNumberingAfterBreak="0">
    <w:nsid w:val="68C52C16"/>
    <w:multiLevelType w:val="hybridMultilevel"/>
    <w:tmpl w:val="A9189602"/>
    <w:lvl w:ilvl="0" w:tplc="04050001">
      <w:start w:val="1"/>
      <w:numFmt w:val="bullet"/>
      <w:lvlText w:val=""/>
      <w:lvlJc w:val="left"/>
      <w:pPr>
        <w:ind w:left="1440" w:hanging="360"/>
      </w:pPr>
      <w:rPr>
        <w:rFonts w:ascii="Symbol" w:hAnsi="Symbol" w:hint="default"/>
      </w:rPr>
    </w:lvl>
    <w:lvl w:ilvl="1" w:tplc="04050003">
      <w:start w:val="1"/>
      <w:numFmt w:val="bullet"/>
      <w:lvlText w:val="o"/>
      <w:lvlJc w:val="left"/>
      <w:pPr>
        <w:ind w:left="1778"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0" w15:restartNumberingAfterBreak="0">
    <w:nsid w:val="6ADB27CB"/>
    <w:multiLevelType w:val="hybridMultilevel"/>
    <w:tmpl w:val="9D541656"/>
    <w:lvl w:ilvl="0" w:tplc="04050001">
      <w:start w:val="1"/>
      <w:numFmt w:val="bullet"/>
      <w:lvlText w:val=""/>
      <w:lvlJc w:val="left"/>
      <w:pPr>
        <w:ind w:left="720" w:hanging="360"/>
      </w:pPr>
      <w:rPr>
        <w:rFonts w:ascii="Symbol" w:hAnsi="Symbol"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cs="Times New Roman" w:hint="default"/>
      </w:rPr>
    </w:lvl>
    <w:lvl w:ilvl="3" w:tplc="04050001">
      <w:start w:val="1"/>
      <w:numFmt w:val="bullet"/>
      <w:lvlText w:val=""/>
      <w:lvlJc w:val="left"/>
      <w:pPr>
        <w:ind w:left="2880" w:hanging="360"/>
      </w:pPr>
      <w:rPr>
        <w:rFonts w:ascii="Symbol" w:hAnsi="Symbol" w:cs="Times New Roman"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cs="Times New Roman" w:hint="default"/>
      </w:rPr>
    </w:lvl>
    <w:lvl w:ilvl="6" w:tplc="04050001">
      <w:start w:val="1"/>
      <w:numFmt w:val="bullet"/>
      <w:lvlText w:val=""/>
      <w:lvlJc w:val="left"/>
      <w:pPr>
        <w:ind w:left="5040" w:hanging="360"/>
      </w:pPr>
      <w:rPr>
        <w:rFonts w:ascii="Symbol" w:hAnsi="Symbol" w:cs="Times New Roman"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cs="Times New Roman" w:hint="default"/>
      </w:rPr>
    </w:lvl>
  </w:abstractNum>
  <w:abstractNum w:abstractNumId="21" w15:restartNumberingAfterBreak="0">
    <w:nsid w:val="6D9F4862"/>
    <w:multiLevelType w:val="hybridMultilevel"/>
    <w:tmpl w:val="21482852"/>
    <w:lvl w:ilvl="0" w:tplc="C83ACB8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70BB114E"/>
    <w:multiLevelType w:val="hybridMultilevel"/>
    <w:tmpl w:val="9E9C467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3" w15:restartNumberingAfterBreak="0">
    <w:nsid w:val="72A14917"/>
    <w:multiLevelType w:val="hybridMultilevel"/>
    <w:tmpl w:val="8E70FAB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15:restartNumberingAfterBreak="0">
    <w:nsid w:val="769C1B8C"/>
    <w:multiLevelType w:val="hybridMultilevel"/>
    <w:tmpl w:val="7FEE458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7734846"/>
    <w:multiLevelType w:val="hybridMultilevel"/>
    <w:tmpl w:val="BEF07810"/>
    <w:lvl w:ilvl="0" w:tplc="DFB60D2C">
      <w:numFmt w:val="bullet"/>
      <w:lvlText w:val="-"/>
      <w:lvlJc w:val="left"/>
      <w:pPr>
        <w:ind w:left="420" w:hanging="360"/>
      </w:pPr>
      <w:rPr>
        <w:rFonts w:ascii="Arial" w:eastAsia="Times New Roman" w:hAnsi="Arial" w:cs="Arial"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26" w15:restartNumberingAfterBreak="0">
    <w:nsid w:val="7A2541D3"/>
    <w:multiLevelType w:val="multilevel"/>
    <w:tmpl w:val="DC46F602"/>
    <w:lvl w:ilvl="0">
      <w:start w:val="1"/>
      <w:numFmt w:val="bullet"/>
      <w:lvlText w:val=""/>
      <w:lvlJc w:val="left"/>
      <w:pPr>
        <w:tabs>
          <w:tab w:val="num" w:pos="720"/>
        </w:tabs>
        <w:ind w:left="720" w:hanging="360"/>
      </w:pPr>
      <w:rPr>
        <w:rFonts w:ascii="Symbol" w:hAnsi="Symbol"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Times New Roman" w:hint="default"/>
        <w:sz w:val="20"/>
        <w:szCs w:val="20"/>
      </w:rPr>
    </w:lvl>
    <w:lvl w:ilvl="3">
      <w:start w:val="1"/>
      <w:numFmt w:val="bullet"/>
      <w:lvlText w:val=""/>
      <w:lvlJc w:val="left"/>
      <w:pPr>
        <w:tabs>
          <w:tab w:val="num" w:pos="2880"/>
        </w:tabs>
        <w:ind w:left="2880" w:hanging="360"/>
      </w:pPr>
      <w:rPr>
        <w:rFonts w:ascii="Wingdings" w:hAnsi="Wingdings" w:cs="Times New Roman" w:hint="default"/>
        <w:sz w:val="20"/>
        <w:szCs w:val="20"/>
      </w:rPr>
    </w:lvl>
    <w:lvl w:ilvl="4">
      <w:start w:val="1"/>
      <w:numFmt w:val="bullet"/>
      <w:lvlText w:val=""/>
      <w:lvlJc w:val="left"/>
      <w:pPr>
        <w:tabs>
          <w:tab w:val="num" w:pos="3600"/>
        </w:tabs>
        <w:ind w:left="3600" w:hanging="360"/>
      </w:pPr>
      <w:rPr>
        <w:rFonts w:ascii="Wingdings" w:hAnsi="Wingdings" w:cs="Times New Roman" w:hint="default"/>
        <w:sz w:val="20"/>
        <w:szCs w:val="20"/>
      </w:rPr>
    </w:lvl>
    <w:lvl w:ilvl="5">
      <w:start w:val="1"/>
      <w:numFmt w:val="bullet"/>
      <w:lvlText w:val=""/>
      <w:lvlJc w:val="left"/>
      <w:pPr>
        <w:tabs>
          <w:tab w:val="num" w:pos="4320"/>
        </w:tabs>
        <w:ind w:left="4320" w:hanging="360"/>
      </w:pPr>
      <w:rPr>
        <w:rFonts w:ascii="Wingdings" w:hAnsi="Wingdings" w:cs="Times New Roman" w:hint="default"/>
        <w:sz w:val="20"/>
        <w:szCs w:val="20"/>
      </w:rPr>
    </w:lvl>
    <w:lvl w:ilvl="6">
      <w:start w:val="1"/>
      <w:numFmt w:val="bullet"/>
      <w:lvlText w:val=""/>
      <w:lvlJc w:val="left"/>
      <w:pPr>
        <w:tabs>
          <w:tab w:val="num" w:pos="5040"/>
        </w:tabs>
        <w:ind w:left="5040" w:hanging="360"/>
      </w:pPr>
      <w:rPr>
        <w:rFonts w:ascii="Wingdings" w:hAnsi="Wingdings" w:cs="Times New Roman" w:hint="default"/>
        <w:sz w:val="20"/>
        <w:szCs w:val="20"/>
      </w:rPr>
    </w:lvl>
    <w:lvl w:ilvl="7">
      <w:start w:val="1"/>
      <w:numFmt w:val="bullet"/>
      <w:lvlText w:val=""/>
      <w:lvlJc w:val="left"/>
      <w:pPr>
        <w:tabs>
          <w:tab w:val="num" w:pos="5760"/>
        </w:tabs>
        <w:ind w:left="5760" w:hanging="360"/>
      </w:pPr>
      <w:rPr>
        <w:rFonts w:ascii="Wingdings" w:hAnsi="Wingdings" w:cs="Times New Roman" w:hint="default"/>
        <w:sz w:val="20"/>
        <w:szCs w:val="20"/>
      </w:rPr>
    </w:lvl>
    <w:lvl w:ilvl="8">
      <w:start w:val="1"/>
      <w:numFmt w:val="bullet"/>
      <w:lvlText w:val=""/>
      <w:lvlJc w:val="left"/>
      <w:pPr>
        <w:tabs>
          <w:tab w:val="num" w:pos="6480"/>
        </w:tabs>
        <w:ind w:left="6480" w:hanging="360"/>
      </w:pPr>
      <w:rPr>
        <w:rFonts w:ascii="Wingdings" w:hAnsi="Wingdings" w:cs="Times New Roman" w:hint="default"/>
        <w:sz w:val="20"/>
        <w:szCs w:val="20"/>
      </w:rPr>
    </w:lvl>
  </w:abstractNum>
  <w:abstractNum w:abstractNumId="27" w15:restartNumberingAfterBreak="0">
    <w:nsid w:val="7BC51731"/>
    <w:multiLevelType w:val="hybridMultilevel"/>
    <w:tmpl w:val="D1EAA5C0"/>
    <w:lvl w:ilvl="0" w:tplc="041B0001">
      <w:start w:val="1"/>
      <w:numFmt w:val="bullet"/>
      <w:lvlText w:val=""/>
      <w:lvlJc w:val="left"/>
      <w:pPr>
        <w:ind w:left="765" w:hanging="360"/>
      </w:pPr>
      <w:rPr>
        <w:rFonts w:ascii="Symbol" w:hAnsi="Symbol" w:hint="default"/>
      </w:rPr>
    </w:lvl>
    <w:lvl w:ilvl="1" w:tplc="041B0003" w:tentative="1">
      <w:start w:val="1"/>
      <w:numFmt w:val="bullet"/>
      <w:lvlText w:val="o"/>
      <w:lvlJc w:val="left"/>
      <w:pPr>
        <w:ind w:left="1485" w:hanging="360"/>
      </w:pPr>
      <w:rPr>
        <w:rFonts w:ascii="Courier New" w:hAnsi="Courier New" w:cs="Courier New" w:hint="default"/>
      </w:rPr>
    </w:lvl>
    <w:lvl w:ilvl="2" w:tplc="041B0005" w:tentative="1">
      <w:start w:val="1"/>
      <w:numFmt w:val="bullet"/>
      <w:lvlText w:val=""/>
      <w:lvlJc w:val="left"/>
      <w:pPr>
        <w:ind w:left="2205" w:hanging="360"/>
      </w:pPr>
      <w:rPr>
        <w:rFonts w:ascii="Wingdings" w:hAnsi="Wingdings" w:hint="default"/>
      </w:rPr>
    </w:lvl>
    <w:lvl w:ilvl="3" w:tplc="041B0001" w:tentative="1">
      <w:start w:val="1"/>
      <w:numFmt w:val="bullet"/>
      <w:lvlText w:val=""/>
      <w:lvlJc w:val="left"/>
      <w:pPr>
        <w:ind w:left="2925" w:hanging="360"/>
      </w:pPr>
      <w:rPr>
        <w:rFonts w:ascii="Symbol" w:hAnsi="Symbol" w:hint="default"/>
      </w:rPr>
    </w:lvl>
    <w:lvl w:ilvl="4" w:tplc="041B0003" w:tentative="1">
      <w:start w:val="1"/>
      <w:numFmt w:val="bullet"/>
      <w:lvlText w:val="o"/>
      <w:lvlJc w:val="left"/>
      <w:pPr>
        <w:ind w:left="3645" w:hanging="360"/>
      </w:pPr>
      <w:rPr>
        <w:rFonts w:ascii="Courier New" w:hAnsi="Courier New" w:cs="Courier New" w:hint="default"/>
      </w:rPr>
    </w:lvl>
    <w:lvl w:ilvl="5" w:tplc="041B0005" w:tentative="1">
      <w:start w:val="1"/>
      <w:numFmt w:val="bullet"/>
      <w:lvlText w:val=""/>
      <w:lvlJc w:val="left"/>
      <w:pPr>
        <w:ind w:left="4365" w:hanging="360"/>
      </w:pPr>
      <w:rPr>
        <w:rFonts w:ascii="Wingdings" w:hAnsi="Wingdings" w:hint="default"/>
      </w:rPr>
    </w:lvl>
    <w:lvl w:ilvl="6" w:tplc="041B0001" w:tentative="1">
      <w:start w:val="1"/>
      <w:numFmt w:val="bullet"/>
      <w:lvlText w:val=""/>
      <w:lvlJc w:val="left"/>
      <w:pPr>
        <w:ind w:left="5085" w:hanging="360"/>
      </w:pPr>
      <w:rPr>
        <w:rFonts w:ascii="Symbol" w:hAnsi="Symbol" w:hint="default"/>
      </w:rPr>
    </w:lvl>
    <w:lvl w:ilvl="7" w:tplc="041B0003" w:tentative="1">
      <w:start w:val="1"/>
      <w:numFmt w:val="bullet"/>
      <w:lvlText w:val="o"/>
      <w:lvlJc w:val="left"/>
      <w:pPr>
        <w:ind w:left="5805" w:hanging="360"/>
      </w:pPr>
      <w:rPr>
        <w:rFonts w:ascii="Courier New" w:hAnsi="Courier New" w:cs="Courier New" w:hint="default"/>
      </w:rPr>
    </w:lvl>
    <w:lvl w:ilvl="8" w:tplc="041B0005" w:tentative="1">
      <w:start w:val="1"/>
      <w:numFmt w:val="bullet"/>
      <w:lvlText w:val=""/>
      <w:lvlJc w:val="left"/>
      <w:pPr>
        <w:ind w:left="6525" w:hanging="360"/>
      </w:pPr>
      <w:rPr>
        <w:rFonts w:ascii="Wingdings" w:hAnsi="Wingdings" w:hint="default"/>
      </w:rPr>
    </w:lvl>
  </w:abstractNum>
  <w:abstractNum w:abstractNumId="28" w15:restartNumberingAfterBreak="0">
    <w:nsid w:val="7E792F41"/>
    <w:multiLevelType w:val="hybridMultilevel"/>
    <w:tmpl w:val="EC506BE4"/>
    <w:lvl w:ilvl="0" w:tplc="04090001">
      <w:start w:val="1"/>
      <w:numFmt w:val="bullet"/>
      <w:lvlText w:val=""/>
      <w:lvlJc w:val="left"/>
      <w:pPr>
        <w:ind w:left="720" w:hanging="360"/>
      </w:pPr>
      <w:rPr>
        <w:rFonts w:ascii="Symbol"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Times New Roman" w:hint="default"/>
      </w:rPr>
    </w:lvl>
    <w:lvl w:ilvl="3" w:tplc="04090001">
      <w:start w:val="1"/>
      <w:numFmt w:val="bullet"/>
      <w:lvlText w:val=""/>
      <w:lvlJc w:val="left"/>
      <w:pPr>
        <w:ind w:left="2880" w:hanging="360"/>
      </w:pPr>
      <w:rPr>
        <w:rFonts w:ascii="Symbol" w:hAnsi="Symbol" w:cs="Times New Roman"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Times New Roman" w:hint="default"/>
      </w:rPr>
    </w:lvl>
    <w:lvl w:ilvl="6" w:tplc="04090001">
      <w:start w:val="1"/>
      <w:numFmt w:val="bullet"/>
      <w:lvlText w:val=""/>
      <w:lvlJc w:val="left"/>
      <w:pPr>
        <w:ind w:left="5040" w:hanging="360"/>
      </w:pPr>
      <w:rPr>
        <w:rFonts w:ascii="Symbol" w:hAnsi="Symbol" w:cs="Times New Roman"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Times New Roman" w:hint="default"/>
      </w:rPr>
    </w:lvl>
  </w:abstractNum>
  <w:abstractNum w:abstractNumId="29" w15:restartNumberingAfterBreak="0">
    <w:nsid w:val="7EAB47C8"/>
    <w:multiLevelType w:val="hybridMultilevel"/>
    <w:tmpl w:val="F238E128"/>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num w:numId="1" w16cid:durableId="100884335">
    <w:abstractNumId w:val="0"/>
  </w:num>
  <w:num w:numId="2" w16cid:durableId="1882395834">
    <w:abstractNumId w:val="1"/>
  </w:num>
  <w:num w:numId="3" w16cid:durableId="1424375233">
    <w:abstractNumId w:val="10"/>
  </w:num>
  <w:num w:numId="4" w16cid:durableId="1451703751">
    <w:abstractNumId w:val="26"/>
  </w:num>
  <w:num w:numId="5" w16cid:durableId="1010329030">
    <w:abstractNumId w:val="28"/>
  </w:num>
  <w:num w:numId="6" w16cid:durableId="621882834">
    <w:abstractNumId w:val="15"/>
  </w:num>
  <w:num w:numId="7" w16cid:durableId="283662142">
    <w:abstractNumId w:val="22"/>
  </w:num>
  <w:num w:numId="8" w16cid:durableId="830176960">
    <w:abstractNumId w:val="2"/>
  </w:num>
  <w:num w:numId="9" w16cid:durableId="1681278245">
    <w:abstractNumId w:val="6"/>
  </w:num>
  <w:num w:numId="10" w16cid:durableId="1851137427">
    <w:abstractNumId w:val="8"/>
  </w:num>
  <w:num w:numId="11" w16cid:durableId="1312248997">
    <w:abstractNumId w:val="17"/>
  </w:num>
  <w:num w:numId="12" w16cid:durableId="13697920">
    <w:abstractNumId w:val="3"/>
  </w:num>
  <w:num w:numId="13" w16cid:durableId="1991252067">
    <w:abstractNumId w:val="12"/>
  </w:num>
  <w:num w:numId="14" w16cid:durableId="1228613657">
    <w:abstractNumId w:val="20"/>
  </w:num>
  <w:num w:numId="15" w16cid:durableId="1898785642">
    <w:abstractNumId w:val="11"/>
  </w:num>
  <w:num w:numId="16" w16cid:durableId="929434380">
    <w:abstractNumId w:val="21"/>
  </w:num>
  <w:num w:numId="17" w16cid:durableId="99688585">
    <w:abstractNumId w:val="29"/>
  </w:num>
  <w:num w:numId="18" w16cid:durableId="1505124831">
    <w:abstractNumId w:val="23"/>
  </w:num>
  <w:num w:numId="19" w16cid:durableId="1970669001">
    <w:abstractNumId w:val="9"/>
  </w:num>
  <w:num w:numId="20" w16cid:durableId="779566863">
    <w:abstractNumId w:val="4"/>
  </w:num>
  <w:num w:numId="21" w16cid:durableId="1517309251">
    <w:abstractNumId w:val="25"/>
  </w:num>
  <w:num w:numId="22" w16cid:durableId="127659748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01791274">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9489423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72721839">
    <w:abstractNumId w:val="27"/>
  </w:num>
  <w:num w:numId="26" w16cid:durableId="1585217207">
    <w:abstractNumId w:val="24"/>
  </w:num>
  <w:num w:numId="27" w16cid:durableId="2133203529">
    <w:abstractNumId w:val="13"/>
  </w:num>
  <w:num w:numId="28" w16cid:durableId="513764454">
    <w:abstractNumId w:val="7"/>
  </w:num>
  <w:num w:numId="29" w16cid:durableId="1412389128">
    <w:abstractNumId w:val="16"/>
  </w:num>
  <w:num w:numId="30" w16cid:durableId="129298116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425"/>
  <w:doNotHyphenateCaps/>
  <w:displayHorizontalDrawingGridEvery w:val="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156"/>
    <w:rsid w:val="00005A52"/>
    <w:rsid w:val="0001016D"/>
    <w:rsid w:val="000119F8"/>
    <w:rsid w:val="000122DE"/>
    <w:rsid w:val="00026482"/>
    <w:rsid w:val="00034A97"/>
    <w:rsid w:val="00034DB3"/>
    <w:rsid w:val="000375AA"/>
    <w:rsid w:val="0004309F"/>
    <w:rsid w:val="0005224D"/>
    <w:rsid w:val="000527AC"/>
    <w:rsid w:val="00061C08"/>
    <w:rsid w:val="000663DE"/>
    <w:rsid w:val="00066556"/>
    <w:rsid w:val="0006690C"/>
    <w:rsid w:val="000708F2"/>
    <w:rsid w:val="00070907"/>
    <w:rsid w:val="00073E74"/>
    <w:rsid w:val="0007787D"/>
    <w:rsid w:val="000821E4"/>
    <w:rsid w:val="000846E5"/>
    <w:rsid w:val="00092DFC"/>
    <w:rsid w:val="00092F45"/>
    <w:rsid w:val="000A05A5"/>
    <w:rsid w:val="000B475C"/>
    <w:rsid w:val="000C501B"/>
    <w:rsid w:val="000D1D63"/>
    <w:rsid w:val="000D3AC2"/>
    <w:rsid w:val="000E3AD3"/>
    <w:rsid w:val="000E3F65"/>
    <w:rsid w:val="000F3931"/>
    <w:rsid w:val="000F7D6A"/>
    <w:rsid w:val="00100DCD"/>
    <w:rsid w:val="00107B0D"/>
    <w:rsid w:val="00125401"/>
    <w:rsid w:val="00125943"/>
    <w:rsid w:val="00125AEE"/>
    <w:rsid w:val="001463BF"/>
    <w:rsid w:val="0014684C"/>
    <w:rsid w:val="001549CA"/>
    <w:rsid w:val="00174639"/>
    <w:rsid w:val="001803EE"/>
    <w:rsid w:val="00185E7C"/>
    <w:rsid w:val="001868DD"/>
    <w:rsid w:val="00186DB7"/>
    <w:rsid w:val="001915BE"/>
    <w:rsid w:val="001A061E"/>
    <w:rsid w:val="001B7A37"/>
    <w:rsid w:val="001C1C98"/>
    <w:rsid w:val="001C2741"/>
    <w:rsid w:val="001C41BE"/>
    <w:rsid w:val="001D7D32"/>
    <w:rsid w:val="001E0846"/>
    <w:rsid w:val="001E1A53"/>
    <w:rsid w:val="001E4305"/>
    <w:rsid w:val="001F0038"/>
    <w:rsid w:val="001F30F1"/>
    <w:rsid w:val="001F5441"/>
    <w:rsid w:val="00210AFE"/>
    <w:rsid w:val="00210B93"/>
    <w:rsid w:val="00212994"/>
    <w:rsid w:val="002132CC"/>
    <w:rsid w:val="00223E1A"/>
    <w:rsid w:val="00224586"/>
    <w:rsid w:val="00231C89"/>
    <w:rsid w:val="00234D4D"/>
    <w:rsid w:val="0024187D"/>
    <w:rsid w:val="002759A0"/>
    <w:rsid w:val="002875E9"/>
    <w:rsid w:val="002A2892"/>
    <w:rsid w:val="002A2F3E"/>
    <w:rsid w:val="002B05E0"/>
    <w:rsid w:val="002B562E"/>
    <w:rsid w:val="002C0038"/>
    <w:rsid w:val="002C67CC"/>
    <w:rsid w:val="002D122C"/>
    <w:rsid w:val="002E3B38"/>
    <w:rsid w:val="002F3064"/>
    <w:rsid w:val="002F468B"/>
    <w:rsid w:val="002F508B"/>
    <w:rsid w:val="002F72C2"/>
    <w:rsid w:val="003006BF"/>
    <w:rsid w:val="003029A1"/>
    <w:rsid w:val="00310085"/>
    <w:rsid w:val="003108FE"/>
    <w:rsid w:val="00313724"/>
    <w:rsid w:val="00314ECB"/>
    <w:rsid w:val="0031614D"/>
    <w:rsid w:val="00316355"/>
    <w:rsid w:val="003166C8"/>
    <w:rsid w:val="00327977"/>
    <w:rsid w:val="003310F4"/>
    <w:rsid w:val="0034134C"/>
    <w:rsid w:val="0034259A"/>
    <w:rsid w:val="0034282F"/>
    <w:rsid w:val="00343AB3"/>
    <w:rsid w:val="003519C9"/>
    <w:rsid w:val="003651F5"/>
    <w:rsid w:val="003804FD"/>
    <w:rsid w:val="00382303"/>
    <w:rsid w:val="00382DA7"/>
    <w:rsid w:val="003932D0"/>
    <w:rsid w:val="003958FD"/>
    <w:rsid w:val="003A4094"/>
    <w:rsid w:val="003B5DB7"/>
    <w:rsid w:val="003B78DA"/>
    <w:rsid w:val="003C1F9B"/>
    <w:rsid w:val="003C4A8A"/>
    <w:rsid w:val="003C58D8"/>
    <w:rsid w:val="003D19ED"/>
    <w:rsid w:val="003D4AE2"/>
    <w:rsid w:val="003E3ECB"/>
    <w:rsid w:val="003E49DC"/>
    <w:rsid w:val="003F14A7"/>
    <w:rsid w:val="003F6640"/>
    <w:rsid w:val="004043E5"/>
    <w:rsid w:val="00410E19"/>
    <w:rsid w:val="0041445E"/>
    <w:rsid w:val="00415B38"/>
    <w:rsid w:val="004212F7"/>
    <w:rsid w:val="004245A2"/>
    <w:rsid w:val="00433E7D"/>
    <w:rsid w:val="00440F40"/>
    <w:rsid w:val="00442272"/>
    <w:rsid w:val="0044248F"/>
    <w:rsid w:val="00450DF8"/>
    <w:rsid w:val="00451765"/>
    <w:rsid w:val="00461978"/>
    <w:rsid w:val="00463E3F"/>
    <w:rsid w:val="00464C2F"/>
    <w:rsid w:val="00474BB9"/>
    <w:rsid w:val="0048653B"/>
    <w:rsid w:val="00494934"/>
    <w:rsid w:val="004A182B"/>
    <w:rsid w:val="004A3316"/>
    <w:rsid w:val="004B32A8"/>
    <w:rsid w:val="004B7512"/>
    <w:rsid w:val="004C2B93"/>
    <w:rsid w:val="004C7BDF"/>
    <w:rsid w:val="004C7E02"/>
    <w:rsid w:val="004D0C87"/>
    <w:rsid w:val="004D32DB"/>
    <w:rsid w:val="004D59C5"/>
    <w:rsid w:val="0050096E"/>
    <w:rsid w:val="005048FC"/>
    <w:rsid w:val="005157C3"/>
    <w:rsid w:val="0051648E"/>
    <w:rsid w:val="00517F75"/>
    <w:rsid w:val="00525E1D"/>
    <w:rsid w:val="0053282A"/>
    <w:rsid w:val="0053301D"/>
    <w:rsid w:val="0053678C"/>
    <w:rsid w:val="0054204E"/>
    <w:rsid w:val="005463D0"/>
    <w:rsid w:val="00566664"/>
    <w:rsid w:val="00571D4A"/>
    <w:rsid w:val="00577840"/>
    <w:rsid w:val="00580DDA"/>
    <w:rsid w:val="00581AC4"/>
    <w:rsid w:val="005823D5"/>
    <w:rsid w:val="0059263D"/>
    <w:rsid w:val="005B4EDE"/>
    <w:rsid w:val="005B6153"/>
    <w:rsid w:val="005B676E"/>
    <w:rsid w:val="005B7052"/>
    <w:rsid w:val="005B735B"/>
    <w:rsid w:val="005C1E8F"/>
    <w:rsid w:val="005C36C0"/>
    <w:rsid w:val="005C41D9"/>
    <w:rsid w:val="005D0C03"/>
    <w:rsid w:val="005D2C8C"/>
    <w:rsid w:val="005D392B"/>
    <w:rsid w:val="005F44C8"/>
    <w:rsid w:val="0060368E"/>
    <w:rsid w:val="0060696E"/>
    <w:rsid w:val="00612A5C"/>
    <w:rsid w:val="00613425"/>
    <w:rsid w:val="00616E37"/>
    <w:rsid w:val="00633490"/>
    <w:rsid w:val="00640955"/>
    <w:rsid w:val="00642CD5"/>
    <w:rsid w:val="006500D7"/>
    <w:rsid w:val="00651CD6"/>
    <w:rsid w:val="00655342"/>
    <w:rsid w:val="00660900"/>
    <w:rsid w:val="00661103"/>
    <w:rsid w:val="00662A0F"/>
    <w:rsid w:val="00666AF1"/>
    <w:rsid w:val="00667751"/>
    <w:rsid w:val="00672CDB"/>
    <w:rsid w:val="00674553"/>
    <w:rsid w:val="00681E6B"/>
    <w:rsid w:val="006839BB"/>
    <w:rsid w:val="00697FC6"/>
    <w:rsid w:val="006A4D8E"/>
    <w:rsid w:val="006B2D54"/>
    <w:rsid w:val="006C3FF5"/>
    <w:rsid w:val="006D5A48"/>
    <w:rsid w:val="006E016B"/>
    <w:rsid w:val="006F5A47"/>
    <w:rsid w:val="0070216E"/>
    <w:rsid w:val="00703A3E"/>
    <w:rsid w:val="00713EFE"/>
    <w:rsid w:val="00720F46"/>
    <w:rsid w:val="00733672"/>
    <w:rsid w:val="00735825"/>
    <w:rsid w:val="00753340"/>
    <w:rsid w:val="007559FD"/>
    <w:rsid w:val="007660CC"/>
    <w:rsid w:val="00776D8D"/>
    <w:rsid w:val="00777E73"/>
    <w:rsid w:val="0078187E"/>
    <w:rsid w:val="00782104"/>
    <w:rsid w:val="007847DF"/>
    <w:rsid w:val="00787C24"/>
    <w:rsid w:val="0079136B"/>
    <w:rsid w:val="0079153C"/>
    <w:rsid w:val="007A4AFF"/>
    <w:rsid w:val="007A590A"/>
    <w:rsid w:val="007B3C66"/>
    <w:rsid w:val="007B7C38"/>
    <w:rsid w:val="007C0D0D"/>
    <w:rsid w:val="007D08D1"/>
    <w:rsid w:val="007D4188"/>
    <w:rsid w:val="007D4FAF"/>
    <w:rsid w:val="007E0077"/>
    <w:rsid w:val="007E25B9"/>
    <w:rsid w:val="007F419B"/>
    <w:rsid w:val="007F5F45"/>
    <w:rsid w:val="007F6515"/>
    <w:rsid w:val="0080093E"/>
    <w:rsid w:val="00801E50"/>
    <w:rsid w:val="008020A7"/>
    <w:rsid w:val="00810E14"/>
    <w:rsid w:val="00817D7A"/>
    <w:rsid w:val="008442AF"/>
    <w:rsid w:val="00844D44"/>
    <w:rsid w:val="008457D0"/>
    <w:rsid w:val="00846865"/>
    <w:rsid w:val="00847987"/>
    <w:rsid w:val="00854BFC"/>
    <w:rsid w:val="008564D7"/>
    <w:rsid w:val="00865EC3"/>
    <w:rsid w:val="008665FF"/>
    <w:rsid w:val="0087244F"/>
    <w:rsid w:val="00876AC6"/>
    <w:rsid w:val="0088517B"/>
    <w:rsid w:val="0088633E"/>
    <w:rsid w:val="008922A1"/>
    <w:rsid w:val="008B64FA"/>
    <w:rsid w:val="008B6E2E"/>
    <w:rsid w:val="008C34B3"/>
    <w:rsid w:val="008C398E"/>
    <w:rsid w:val="008C3B28"/>
    <w:rsid w:val="008D0B84"/>
    <w:rsid w:val="008D12FA"/>
    <w:rsid w:val="008D461D"/>
    <w:rsid w:val="008E1EA2"/>
    <w:rsid w:val="008E4B4C"/>
    <w:rsid w:val="008E61FD"/>
    <w:rsid w:val="008F3660"/>
    <w:rsid w:val="0090115E"/>
    <w:rsid w:val="0090612B"/>
    <w:rsid w:val="00917549"/>
    <w:rsid w:val="0092188C"/>
    <w:rsid w:val="00925253"/>
    <w:rsid w:val="00942A1F"/>
    <w:rsid w:val="009433AE"/>
    <w:rsid w:val="00962A17"/>
    <w:rsid w:val="00984B5E"/>
    <w:rsid w:val="009853AF"/>
    <w:rsid w:val="0098607C"/>
    <w:rsid w:val="00992C20"/>
    <w:rsid w:val="00992F2A"/>
    <w:rsid w:val="0099792E"/>
    <w:rsid w:val="009B2629"/>
    <w:rsid w:val="009C0BB4"/>
    <w:rsid w:val="009C3377"/>
    <w:rsid w:val="009D156E"/>
    <w:rsid w:val="009D62C4"/>
    <w:rsid w:val="009E7511"/>
    <w:rsid w:val="00A126B8"/>
    <w:rsid w:val="00A156DA"/>
    <w:rsid w:val="00A16BDB"/>
    <w:rsid w:val="00A26E92"/>
    <w:rsid w:val="00A324B9"/>
    <w:rsid w:val="00A40D6C"/>
    <w:rsid w:val="00A42DC3"/>
    <w:rsid w:val="00A500AF"/>
    <w:rsid w:val="00A5296F"/>
    <w:rsid w:val="00A67F1E"/>
    <w:rsid w:val="00A72EF6"/>
    <w:rsid w:val="00A77F31"/>
    <w:rsid w:val="00A81931"/>
    <w:rsid w:val="00AA3F5A"/>
    <w:rsid w:val="00AB787A"/>
    <w:rsid w:val="00AC014F"/>
    <w:rsid w:val="00AC2772"/>
    <w:rsid w:val="00AC5D48"/>
    <w:rsid w:val="00AD26A1"/>
    <w:rsid w:val="00AE3569"/>
    <w:rsid w:val="00AE56BF"/>
    <w:rsid w:val="00AE5B9B"/>
    <w:rsid w:val="00AF5768"/>
    <w:rsid w:val="00AF6DFA"/>
    <w:rsid w:val="00B034D1"/>
    <w:rsid w:val="00B119DE"/>
    <w:rsid w:val="00B156D9"/>
    <w:rsid w:val="00B16B80"/>
    <w:rsid w:val="00B220C4"/>
    <w:rsid w:val="00B24D4A"/>
    <w:rsid w:val="00B254C3"/>
    <w:rsid w:val="00B26524"/>
    <w:rsid w:val="00B3064F"/>
    <w:rsid w:val="00B30F2A"/>
    <w:rsid w:val="00B327C2"/>
    <w:rsid w:val="00B33559"/>
    <w:rsid w:val="00B35830"/>
    <w:rsid w:val="00B3702C"/>
    <w:rsid w:val="00B454F4"/>
    <w:rsid w:val="00B5268D"/>
    <w:rsid w:val="00B55D2C"/>
    <w:rsid w:val="00B61B66"/>
    <w:rsid w:val="00B6279B"/>
    <w:rsid w:val="00B635F5"/>
    <w:rsid w:val="00B64E24"/>
    <w:rsid w:val="00B66465"/>
    <w:rsid w:val="00B67253"/>
    <w:rsid w:val="00B8300B"/>
    <w:rsid w:val="00B83B8B"/>
    <w:rsid w:val="00B86B7C"/>
    <w:rsid w:val="00B950E9"/>
    <w:rsid w:val="00B97EE2"/>
    <w:rsid w:val="00BA09C0"/>
    <w:rsid w:val="00BA736B"/>
    <w:rsid w:val="00BA7F99"/>
    <w:rsid w:val="00BC4303"/>
    <w:rsid w:val="00BD733C"/>
    <w:rsid w:val="00BE1514"/>
    <w:rsid w:val="00BE45E8"/>
    <w:rsid w:val="00BE5C40"/>
    <w:rsid w:val="00BE736C"/>
    <w:rsid w:val="00BF0D15"/>
    <w:rsid w:val="00BF601A"/>
    <w:rsid w:val="00C06C21"/>
    <w:rsid w:val="00C2195A"/>
    <w:rsid w:val="00C23C1A"/>
    <w:rsid w:val="00C2439B"/>
    <w:rsid w:val="00C3042F"/>
    <w:rsid w:val="00C31A52"/>
    <w:rsid w:val="00C33173"/>
    <w:rsid w:val="00C3508F"/>
    <w:rsid w:val="00C35658"/>
    <w:rsid w:val="00C41C41"/>
    <w:rsid w:val="00C42F7B"/>
    <w:rsid w:val="00C53CB4"/>
    <w:rsid w:val="00C66B21"/>
    <w:rsid w:val="00C75407"/>
    <w:rsid w:val="00C92F1B"/>
    <w:rsid w:val="00C95CE1"/>
    <w:rsid w:val="00CD22C0"/>
    <w:rsid w:val="00CF0D19"/>
    <w:rsid w:val="00CF39A6"/>
    <w:rsid w:val="00D02879"/>
    <w:rsid w:val="00D04F98"/>
    <w:rsid w:val="00D12BB8"/>
    <w:rsid w:val="00D14097"/>
    <w:rsid w:val="00D14EFE"/>
    <w:rsid w:val="00D16390"/>
    <w:rsid w:val="00D20C8E"/>
    <w:rsid w:val="00D20D75"/>
    <w:rsid w:val="00D212BE"/>
    <w:rsid w:val="00D21A9E"/>
    <w:rsid w:val="00D23060"/>
    <w:rsid w:val="00D26B4A"/>
    <w:rsid w:val="00D309D6"/>
    <w:rsid w:val="00D33F68"/>
    <w:rsid w:val="00D41588"/>
    <w:rsid w:val="00D44611"/>
    <w:rsid w:val="00D66599"/>
    <w:rsid w:val="00D728F5"/>
    <w:rsid w:val="00D8609A"/>
    <w:rsid w:val="00D9262C"/>
    <w:rsid w:val="00D972CF"/>
    <w:rsid w:val="00DA4099"/>
    <w:rsid w:val="00DA43F0"/>
    <w:rsid w:val="00DB4591"/>
    <w:rsid w:val="00DB4FCA"/>
    <w:rsid w:val="00DC2EC6"/>
    <w:rsid w:val="00DC783D"/>
    <w:rsid w:val="00DD0DE2"/>
    <w:rsid w:val="00DE184B"/>
    <w:rsid w:val="00DE7ED9"/>
    <w:rsid w:val="00DF1791"/>
    <w:rsid w:val="00DF2792"/>
    <w:rsid w:val="00DF2D45"/>
    <w:rsid w:val="00DF44B3"/>
    <w:rsid w:val="00DF79C4"/>
    <w:rsid w:val="00E01D5C"/>
    <w:rsid w:val="00E054D4"/>
    <w:rsid w:val="00E1078D"/>
    <w:rsid w:val="00E423B9"/>
    <w:rsid w:val="00E46C6E"/>
    <w:rsid w:val="00E54FF3"/>
    <w:rsid w:val="00E56E1A"/>
    <w:rsid w:val="00E6730B"/>
    <w:rsid w:val="00E74AF4"/>
    <w:rsid w:val="00E7675B"/>
    <w:rsid w:val="00E83541"/>
    <w:rsid w:val="00E876C2"/>
    <w:rsid w:val="00EA4089"/>
    <w:rsid w:val="00EB4491"/>
    <w:rsid w:val="00EB5320"/>
    <w:rsid w:val="00EB7946"/>
    <w:rsid w:val="00EC0787"/>
    <w:rsid w:val="00ED4253"/>
    <w:rsid w:val="00EE5E52"/>
    <w:rsid w:val="00EF673D"/>
    <w:rsid w:val="00EF75C4"/>
    <w:rsid w:val="00F1157B"/>
    <w:rsid w:val="00F1466E"/>
    <w:rsid w:val="00F328B5"/>
    <w:rsid w:val="00F3502B"/>
    <w:rsid w:val="00F35891"/>
    <w:rsid w:val="00F4033F"/>
    <w:rsid w:val="00F415D6"/>
    <w:rsid w:val="00F564B7"/>
    <w:rsid w:val="00F61CF7"/>
    <w:rsid w:val="00F75E8B"/>
    <w:rsid w:val="00F8175D"/>
    <w:rsid w:val="00F81F5C"/>
    <w:rsid w:val="00F83032"/>
    <w:rsid w:val="00F85570"/>
    <w:rsid w:val="00FA2A77"/>
    <w:rsid w:val="00FB20A1"/>
    <w:rsid w:val="00FB3DE8"/>
    <w:rsid w:val="00FC206B"/>
    <w:rsid w:val="00FC588F"/>
    <w:rsid w:val="00FC799E"/>
    <w:rsid w:val="00FD3156"/>
    <w:rsid w:val="00FE21DA"/>
    <w:rsid w:val="00FF2D97"/>
    <w:rsid w:val="00FF3930"/>
    <w:rsid w:val="00FF512A"/>
    <w:rsid w:val="00FF54C5"/>
    <w:rsid w:val="00FF65F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B4E1E3"/>
  <w15:chartTrackingRefBased/>
  <w15:docId w15:val="{2D747A55-4F31-44E7-A1B1-E7E84B280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801E50"/>
    <w:pPr>
      <w:spacing w:afterLines="80" w:after="80" w:line="300" w:lineRule="auto"/>
      <w:jc w:val="both"/>
    </w:pPr>
    <w:rPr>
      <w:rFonts w:ascii="Arial" w:hAnsi="Arial" w:cs="Arial"/>
      <w:noProof/>
      <w:snapToGrid w:val="0"/>
      <w:lang w:eastAsia="en-US"/>
    </w:rPr>
  </w:style>
  <w:style w:type="paragraph" w:styleId="Nadpis1">
    <w:name w:val="heading 1"/>
    <w:basedOn w:val="Normln"/>
    <w:next w:val="Normln"/>
    <w:qFormat/>
    <w:pPr>
      <w:keepNext/>
      <w:spacing w:before="240" w:after="60"/>
      <w:outlineLvl w:val="0"/>
    </w:pPr>
    <w:rPr>
      <w:b/>
      <w:bCs/>
      <w:kern w:val="28"/>
      <w:sz w:val="28"/>
      <w:szCs w:val="28"/>
      <w:lang w:val="sk-SK"/>
    </w:rPr>
  </w:style>
  <w:style w:type="paragraph" w:styleId="Nadpis2">
    <w:name w:val="heading 2"/>
    <w:basedOn w:val="Normln"/>
    <w:next w:val="Normln"/>
    <w:qFormat/>
    <w:pPr>
      <w:keepNext/>
      <w:outlineLvl w:val="1"/>
    </w:pPr>
    <w:rPr>
      <w:b/>
      <w:bCs/>
    </w:rPr>
  </w:style>
  <w:style w:type="paragraph" w:styleId="Nadpis3">
    <w:name w:val="heading 3"/>
    <w:basedOn w:val="Normln"/>
    <w:next w:val="Normln"/>
    <w:qFormat/>
    <w:pPr>
      <w:keepNext/>
      <w:spacing w:line="240" w:lineRule="atLeast"/>
      <w:outlineLvl w:val="2"/>
    </w:pPr>
    <w:rPr>
      <w:b/>
      <w:bCs/>
      <w:color w:val="000000"/>
      <w:lang w:val="en-GB"/>
    </w:rPr>
  </w:style>
  <w:style w:type="paragraph" w:styleId="Nadpis4">
    <w:name w:val="heading 4"/>
    <w:basedOn w:val="Normln"/>
    <w:next w:val="Normln"/>
    <w:qFormat/>
    <w:pPr>
      <w:keepNext/>
      <w:outlineLvl w:val="3"/>
    </w:pPr>
    <w:rPr>
      <w:b/>
      <w:bCs/>
      <w:sz w:val="24"/>
      <w:szCs w:val="24"/>
      <w:lang w:val="en-GB"/>
    </w:rPr>
  </w:style>
  <w:style w:type="paragraph" w:styleId="Nadpis5">
    <w:name w:val="heading 5"/>
    <w:basedOn w:val="Normln"/>
    <w:next w:val="Normln"/>
    <w:qFormat/>
    <w:pPr>
      <w:keepNext/>
      <w:outlineLvl w:val="4"/>
    </w:pPr>
    <w:rPr>
      <w:b/>
      <w:bCs/>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semiHidden/>
    <w:pPr>
      <w:tabs>
        <w:tab w:val="center" w:pos="4153"/>
        <w:tab w:val="right" w:pos="8306"/>
      </w:tabs>
    </w:pPr>
  </w:style>
  <w:style w:type="paragraph" w:styleId="Zpat">
    <w:name w:val="footer"/>
    <w:basedOn w:val="Normln"/>
    <w:semiHidden/>
    <w:pPr>
      <w:tabs>
        <w:tab w:val="center" w:pos="4153"/>
        <w:tab w:val="right" w:pos="8306"/>
      </w:tabs>
    </w:pPr>
  </w:style>
  <w:style w:type="paragraph" w:customStyle="1" w:styleId="ABLOCKPARA">
    <w:name w:val="A BLOCK PARA"/>
    <w:basedOn w:val="Normln"/>
    <w:rPr>
      <w:lang w:val="sk-SK"/>
    </w:rPr>
  </w:style>
  <w:style w:type="character" w:styleId="Hypertextovodkaz">
    <w:name w:val="Hyperlink"/>
    <w:uiPriority w:val="99"/>
    <w:rPr>
      <w:color w:val="0000FF"/>
      <w:u w:val="single"/>
    </w:rPr>
  </w:style>
  <w:style w:type="paragraph" w:styleId="Zkladntext">
    <w:name w:val="Body Text"/>
    <w:basedOn w:val="Normln"/>
    <w:semiHidden/>
    <w:rPr>
      <w:lang w:val="sk-SK"/>
    </w:rPr>
  </w:style>
  <w:style w:type="paragraph" w:customStyle="1" w:styleId="FormtovanvHTML1">
    <w:name w:val="Formátovaný v HTML1"/>
    <w:basedOn w:val="Norml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Times New Roman" w:hAnsi="Times New Roman"/>
    </w:rPr>
  </w:style>
  <w:style w:type="paragraph" w:styleId="Zkladntextodsazen">
    <w:name w:val="Body Text Indent"/>
    <w:basedOn w:val="Normln"/>
    <w:semiHidden/>
    <w:rPr>
      <w:rFonts w:ascii="Times New Roman" w:hAnsi="Times New Roman"/>
      <w:sz w:val="24"/>
      <w:szCs w:val="24"/>
    </w:rPr>
  </w:style>
  <w:style w:type="character" w:customStyle="1" w:styleId="bod1">
    <w:name w:val="bod1"/>
    <w:rPr>
      <w:rFonts w:ascii="Arial" w:hAnsi="Arial" w:cs="Arial"/>
      <w:sz w:val="18"/>
      <w:szCs w:val="18"/>
    </w:rPr>
  </w:style>
  <w:style w:type="paragraph" w:styleId="Normlnweb">
    <w:name w:val="Normal (Web)"/>
    <w:basedOn w:val="Normln"/>
    <w:semiHidden/>
    <w:pPr>
      <w:spacing w:before="100" w:beforeAutospacing="1" w:after="100" w:afterAutospacing="1"/>
    </w:pPr>
    <w:rPr>
      <w:sz w:val="18"/>
      <w:szCs w:val="18"/>
      <w:lang w:val="en-GB"/>
    </w:rPr>
  </w:style>
  <w:style w:type="character" w:styleId="Siln">
    <w:name w:val="Strong"/>
    <w:uiPriority w:val="22"/>
    <w:qFormat/>
    <w:rPr>
      <w:b/>
      <w:bCs/>
    </w:rPr>
  </w:style>
  <w:style w:type="paragraph" w:customStyle="1" w:styleId="Textbubliny1">
    <w:name w:val="Text bubliny1"/>
    <w:basedOn w:val="Normln"/>
    <w:rPr>
      <w:rFonts w:ascii="Times New Roman" w:hAnsi="Times New Roman"/>
      <w:sz w:val="16"/>
      <w:szCs w:val="16"/>
    </w:rPr>
  </w:style>
  <w:style w:type="character" w:styleId="Odkaznakoment">
    <w:name w:val="annotation reference"/>
    <w:semiHidden/>
    <w:rPr>
      <w:sz w:val="16"/>
      <w:szCs w:val="16"/>
    </w:rPr>
  </w:style>
  <w:style w:type="paragraph" w:styleId="Textkomente">
    <w:name w:val="annotation text"/>
    <w:basedOn w:val="Normln"/>
    <w:link w:val="TextkomenteChar"/>
    <w:uiPriority w:val="99"/>
  </w:style>
  <w:style w:type="paragraph" w:customStyle="1" w:styleId="Pedmtkomente1">
    <w:name w:val="Předmět komentáře1"/>
    <w:basedOn w:val="Textkomente"/>
    <w:next w:val="Textkomente"/>
    <w:rPr>
      <w:b/>
      <w:bCs/>
    </w:rPr>
  </w:style>
  <w:style w:type="paragraph" w:styleId="Prosttext">
    <w:name w:val="Plain Text"/>
    <w:basedOn w:val="Normln"/>
    <w:semiHidden/>
    <w:rPr>
      <w:rFonts w:ascii="Courier New" w:hAnsi="Courier New" w:cs="Courier New"/>
    </w:rPr>
  </w:style>
  <w:style w:type="character" w:styleId="Sledovanodkaz">
    <w:name w:val="FollowedHyperlink"/>
    <w:semiHidden/>
    <w:rPr>
      <w:color w:val="800080"/>
      <w:u w:val="single"/>
    </w:rPr>
  </w:style>
  <w:style w:type="paragraph" w:customStyle="1" w:styleId="Odstavecseseznamem1">
    <w:name w:val="Odstavec se seznamem1"/>
    <w:basedOn w:val="Normln"/>
    <w:pPr>
      <w:spacing w:after="200" w:line="276" w:lineRule="auto"/>
      <w:ind w:left="720"/>
    </w:pPr>
    <w:rPr>
      <w:rFonts w:ascii="Calibri" w:hAnsi="Calibri"/>
    </w:rPr>
  </w:style>
  <w:style w:type="paragraph" w:customStyle="1" w:styleId="COVNormal">
    <w:name w:val="COV_Normal"/>
    <w:basedOn w:val="Normln"/>
    <w:pPr>
      <w:spacing w:before="120" w:after="120"/>
      <w:ind w:left="2279"/>
    </w:pPr>
  </w:style>
  <w:style w:type="paragraph" w:customStyle="1" w:styleId="default">
    <w:name w:val="default"/>
    <w:basedOn w:val="Normln"/>
    <w:pPr>
      <w:autoSpaceDE w:val="0"/>
      <w:autoSpaceDN w:val="0"/>
    </w:pPr>
    <w:rPr>
      <w:rFonts w:ascii="Times New Roman" w:hAnsi="Times New Roman"/>
      <w:color w:val="000000"/>
      <w:sz w:val="24"/>
      <w:szCs w:val="24"/>
    </w:r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 w:type="paragraph" w:styleId="Textbubliny">
    <w:name w:val="Balloon Text"/>
    <w:basedOn w:val="Normln"/>
    <w:link w:val="TextbublinyChar"/>
    <w:uiPriority w:val="99"/>
    <w:semiHidden/>
    <w:unhideWhenUsed/>
    <w:rsid w:val="00E56E1A"/>
    <w:rPr>
      <w:rFonts w:ascii="Tahoma" w:hAnsi="Tahoma" w:cs="Tahoma"/>
      <w:sz w:val="16"/>
      <w:szCs w:val="16"/>
    </w:rPr>
  </w:style>
  <w:style w:type="character" w:customStyle="1" w:styleId="TextbublinyChar">
    <w:name w:val="Text bubliny Char"/>
    <w:link w:val="Textbubliny"/>
    <w:uiPriority w:val="99"/>
    <w:semiHidden/>
    <w:rsid w:val="00E56E1A"/>
    <w:rPr>
      <w:rFonts w:ascii="Tahoma" w:hAnsi="Tahoma" w:cs="Tahoma"/>
      <w:snapToGrid w:val="0"/>
      <w:sz w:val="16"/>
      <w:szCs w:val="16"/>
      <w:lang w:val="en-US" w:eastAsia="en-US"/>
    </w:rPr>
  </w:style>
  <w:style w:type="paragraph" w:styleId="Pedmtkomente">
    <w:name w:val="annotation subject"/>
    <w:basedOn w:val="Textkomente"/>
    <w:next w:val="Textkomente"/>
    <w:link w:val="PedmtkomenteChar"/>
    <w:uiPriority w:val="99"/>
    <w:semiHidden/>
    <w:unhideWhenUsed/>
    <w:rsid w:val="00440F40"/>
    <w:rPr>
      <w:b/>
      <w:bCs/>
    </w:rPr>
  </w:style>
  <w:style w:type="character" w:customStyle="1" w:styleId="TextkomenteChar">
    <w:name w:val="Text komentáře Char"/>
    <w:link w:val="Textkomente"/>
    <w:uiPriority w:val="99"/>
    <w:rsid w:val="00440F40"/>
    <w:rPr>
      <w:rFonts w:ascii="Book Antiqua" w:hAnsi="Book Antiqua"/>
      <w:snapToGrid w:val="0"/>
      <w:lang w:val="en-US" w:eastAsia="en-US"/>
    </w:rPr>
  </w:style>
  <w:style w:type="character" w:customStyle="1" w:styleId="PedmtkomenteChar">
    <w:name w:val="Předmět komentáře Char"/>
    <w:link w:val="Pedmtkomente"/>
    <w:rsid w:val="00440F40"/>
    <w:rPr>
      <w:rFonts w:ascii="Book Antiqua" w:hAnsi="Book Antiqua"/>
      <w:snapToGrid w:val="0"/>
      <w:lang w:val="en-US" w:eastAsia="en-US"/>
    </w:rPr>
  </w:style>
  <w:style w:type="paragraph" w:styleId="Odstavecseseznamem">
    <w:name w:val="List Paragraph"/>
    <w:basedOn w:val="Normln"/>
    <w:uiPriority w:val="34"/>
    <w:qFormat/>
    <w:rsid w:val="00B83B8B"/>
    <w:pPr>
      <w:ind w:left="720"/>
      <w:contextualSpacing/>
    </w:pPr>
  </w:style>
  <w:style w:type="paragraph" w:styleId="Revize">
    <w:name w:val="Revision"/>
    <w:hidden/>
    <w:uiPriority w:val="99"/>
    <w:semiHidden/>
    <w:rsid w:val="007660CC"/>
    <w:rPr>
      <w:rFonts w:ascii="Book Antiqua" w:hAnsi="Book Antiqua"/>
      <w:snapToGrid w:val="0"/>
      <w:sz w:val="22"/>
      <w:szCs w:val="22"/>
      <w:lang w:val="en-US" w:eastAsia="en-US"/>
    </w:rPr>
  </w:style>
  <w:style w:type="paragraph" w:styleId="Textpoznpodarou">
    <w:name w:val="footnote text"/>
    <w:basedOn w:val="Normln"/>
    <w:link w:val="TextpoznpodarouChar"/>
    <w:uiPriority w:val="99"/>
    <w:unhideWhenUsed/>
    <w:rsid w:val="00034DB3"/>
    <w:rPr>
      <w:rFonts w:ascii="Calibri" w:eastAsia="Calibri" w:hAnsi="Calibri"/>
      <w:snapToGrid/>
      <w:lang w:eastAsia="en-GB"/>
    </w:rPr>
  </w:style>
  <w:style w:type="character" w:customStyle="1" w:styleId="TextpoznpodarouChar">
    <w:name w:val="Text pozn. pod čarou Char"/>
    <w:link w:val="Textpoznpodarou"/>
    <w:uiPriority w:val="99"/>
    <w:rsid w:val="00034DB3"/>
    <w:rPr>
      <w:rFonts w:ascii="Calibri" w:eastAsia="Calibri" w:hAnsi="Calibri"/>
      <w:lang w:val="en-US" w:eastAsia="en-GB"/>
    </w:rPr>
  </w:style>
  <w:style w:type="character" w:styleId="Znakapoznpodarou">
    <w:name w:val="footnote reference"/>
    <w:uiPriority w:val="99"/>
    <w:semiHidden/>
    <w:unhideWhenUsed/>
    <w:rsid w:val="00034DB3"/>
    <w:rPr>
      <w:vertAlign w:val="superscript"/>
    </w:rPr>
  </w:style>
  <w:style w:type="character" w:customStyle="1" w:styleId="ZhlavChar">
    <w:name w:val="Záhlaví Char"/>
    <w:link w:val="Zhlav"/>
    <w:semiHidden/>
    <w:rsid w:val="003006BF"/>
    <w:rPr>
      <w:rFonts w:ascii="Book Antiqua" w:hAnsi="Book Antiqua"/>
      <w:snapToGrid w:val="0"/>
      <w:sz w:val="22"/>
      <w:szCs w:val="22"/>
      <w:lang w:val="en-US" w:eastAsia="en-US"/>
    </w:rPr>
  </w:style>
  <w:style w:type="paragraph" w:styleId="Bezmezer">
    <w:name w:val="No Spacing"/>
    <w:uiPriority w:val="1"/>
    <w:qFormat/>
    <w:rsid w:val="0098607C"/>
    <w:pPr>
      <w:spacing w:afterLines="80"/>
      <w:jc w:val="both"/>
    </w:pPr>
    <w:rPr>
      <w:rFonts w:ascii="Arial" w:hAnsi="Arial" w:cs="Arial"/>
      <w:noProof/>
      <w:snapToGrid w:val="0"/>
      <w:lang w:eastAsia="en-US"/>
    </w:rPr>
  </w:style>
  <w:style w:type="character" w:styleId="Nevyeenzmnka">
    <w:name w:val="Unresolved Mention"/>
    <w:uiPriority w:val="99"/>
    <w:semiHidden/>
    <w:unhideWhenUsed/>
    <w:rsid w:val="00FD31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131523">
      <w:bodyDiv w:val="1"/>
      <w:marLeft w:val="0"/>
      <w:marRight w:val="0"/>
      <w:marTop w:val="0"/>
      <w:marBottom w:val="0"/>
      <w:divBdr>
        <w:top w:val="none" w:sz="0" w:space="0" w:color="auto"/>
        <w:left w:val="none" w:sz="0" w:space="0" w:color="auto"/>
        <w:bottom w:val="none" w:sz="0" w:space="0" w:color="auto"/>
        <w:right w:val="none" w:sz="0" w:space="0" w:color="auto"/>
      </w:divBdr>
    </w:div>
    <w:div w:id="171721796">
      <w:bodyDiv w:val="1"/>
      <w:marLeft w:val="0"/>
      <w:marRight w:val="0"/>
      <w:marTop w:val="0"/>
      <w:marBottom w:val="0"/>
      <w:divBdr>
        <w:top w:val="none" w:sz="0" w:space="0" w:color="auto"/>
        <w:left w:val="none" w:sz="0" w:space="0" w:color="auto"/>
        <w:bottom w:val="none" w:sz="0" w:space="0" w:color="auto"/>
        <w:right w:val="none" w:sz="0" w:space="0" w:color="auto"/>
      </w:divBdr>
    </w:div>
    <w:div w:id="176776745">
      <w:bodyDiv w:val="1"/>
      <w:marLeft w:val="0"/>
      <w:marRight w:val="0"/>
      <w:marTop w:val="0"/>
      <w:marBottom w:val="0"/>
      <w:divBdr>
        <w:top w:val="none" w:sz="0" w:space="0" w:color="auto"/>
        <w:left w:val="none" w:sz="0" w:space="0" w:color="auto"/>
        <w:bottom w:val="none" w:sz="0" w:space="0" w:color="auto"/>
        <w:right w:val="none" w:sz="0" w:space="0" w:color="auto"/>
      </w:divBdr>
    </w:div>
    <w:div w:id="309946754">
      <w:bodyDiv w:val="1"/>
      <w:marLeft w:val="0"/>
      <w:marRight w:val="0"/>
      <w:marTop w:val="0"/>
      <w:marBottom w:val="0"/>
      <w:divBdr>
        <w:top w:val="none" w:sz="0" w:space="0" w:color="auto"/>
        <w:left w:val="none" w:sz="0" w:space="0" w:color="auto"/>
        <w:bottom w:val="none" w:sz="0" w:space="0" w:color="auto"/>
        <w:right w:val="none" w:sz="0" w:space="0" w:color="auto"/>
      </w:divBdr>
    </w:div>
    <w:div w:id="447745254">
      <w:bodyDiv w:val="1"/>
      <w:marLeft w:val="0"/>
      <w:marRight w:val="0"/>
      <w:marTop w:val="0"/>
      <w:marBottom w:val="0"/>
      <w:divBdr>
        <w:top w:val="none" w:sz="0" w:space="0" w:color="auto"/>
        <w:left w:val="none" w:sz="0" w:space="0" w:color="auto"/>
        <w:bottom w:val="none" w:sz="0" w:space="0" w:color="auto"/>
        <w:right w:val="none" w:sz="0" w:space="0" w:color="auto"/>
      </w:divBdr>
      <w:divsChild>
        <w:div w:id="277756739">
          <w:marLeft w:val="0"/>
          <w:marRight w:val="0"/>
          <w:marTop w:val="0"/>
          <w:marBottom w:val="0"/>
          <w:divBdr>
            <w:top w:val="none" w:sz="0" w:space="0" w:color="auto"/>
            <w:left w:val="none" w:sz="0" w:space="0" w:color="auto"/>
            <w:bottom w:val="none" w:sz="0" w:space="0" w:color="auto"/>
            <w:right w:val="none" w:sz="0" w:space="0" w:color="auto"/>
          </w:divBdr>
        </w:div>
        <w:div w:id="1323392250">
          <w:marLeft w:val="0"/>
          <w:marRight w:val="0"/>
          <w:marTop w:val="0"/>
          <w:marBottom w:val="0"/>
          <w:divBdr>
            <w:top w:val="none" w:sz="0" w:space="0" w:color="auto"/>
            <w:left w:val="none" w:sz="0" w:space="0" w:color="auto"/>
            <w:bottom w:val="none" w:sz="0" w:space="0" w:color="auto"/>
            <w:right w:val="none" w:sz="0" w:space="0" w:color="auto"/>
          </w:divBdr>
        </w:div>
      </w:divsChild>
    </w:div>
    <w:div w:id="706759425">
      <w:bodyDiv w:val="1"/>
      <w:marLeft w:val="0"/>
      <w:marRight w:val="0"/>
      <w:marTop w:val="0"/>
      <w:marBottom w:val="0"/>
      <w:divBdr>
        <w:top w:val="none" w:sz="0" w:space="0" w:color="auto"/>
        <w:left w:val="none" w:sz="0" w:space="0" w:color="auto"/>
        <w:bottom w:val="none" w:sz="0" w:space="0" w:color="auto"/>
        <w:right w:val="none" w:sz="0" w:space="0" w:color="auto"/>
      </w:divBdr>
    </w:div>
    <w:div w:id="833421389">
      <w:bodyDiv w:val="1"/>
      <w:marLeft w:val="0"/>
      <w:marRight w:val="0"/>
      <w:marTop w:val="0"/>
      <w:marBottom w:val="0"/>
      <w:divBdr>
        <w:top w:val="none" w:sz="0" w:space="0" w:color="auto"/>
        <w:left w:val="none" w:sz="0" w:space="0" w:color="auto"/>
        <w:bottom w:val="none" w:sz="0" w:space="0" w:color="auto"/>
        <w:right w:val="none" w:sz="0" w:space="0" w:color="auto"/>
      </w:divBdr>
    </w:div>
    <w:div w:id="1090392271">
      <w:bodyDiv w:val="1"/>
      <w:marLeft w:val="0"/>
      <w:marRight w:val="0"/>
      <w:marTop w:val="0"/>
      <w:marBottom w:val="0"/>
      <w:divBdr>
        <w:top w:val="none" w:sz="0" w:space="0" w:color="auto"/>
        <w:left w:val="none" w:sz="0" w:space="0" w:color="auto"/>
        <w:bottom w:val="none" w:sz="0" w:space="0" w:color="auto"/>
        <w:right w:val="none" w:sz="0" w:space="0" w:color="auto"/>
      </w:divBdr>
    </w:div>
    <w:div w:id="1094210410">
      <w:bodyDiv w:val="1"/>
      <w:marLeft w:val="0"/>
      <w:marRight w:val="0"/>
      <w:marTop w:val="0"/>
      <w:marBottom w:val="0"/>
      <w:divBdr>
        <w:top w:val="none" w:sz="0" w:space="0" w:color="auto"/>
        <w:left w:val="none" w:sz="0" w:space="0" w:color="auto"/>
        <w:bottom w:val="none" w:sz="0" w:space="0" w:color="auto"/>
        <w:right w:val="none" w:sz="0" w:space="0" w:color="auto"/>
      </w:divBdr>
    </w:div>
    <w:div w:id="1182552692">
      <w:bodyDiv w:val="1"/>
      <w:marLeft w:val="0"/>
      <w:marRight w:val="0"/>
      <w:marTop w:val="0"/>
      <w:marBottom w:val="0"/>
      <w:divBdr>
        <w:top w:val="none" w:sz="0" w:space="0" w:color="auto"/>
        <w:left w:val="none" w:sz="0" w:space="0" w:color="auto"/>
        <w:bottom w:val="none" w:sz="0" w:space="0" w:color="auto"/>
        <w:right w:val="none" w:sz="0" w:space="0" w:color="auto"/>
      </w:divBdr>
    </w:div>
    <w:div w:id="1355424898">
      <w:bodyDiv w:val="1"/>
      <w:marLeft w:val="0"/>
      <w:marRight w:val="0"/>
      <w:marTop w:val="0"/>
      <w:marBottom w:val="0"/>
      <w:divBdr>
        <w:top w:val="none" w:sz="0" w:space="0" w:color="auto"/>
        <w:left w:val="none" w:sz="0" w:space="0" w:color="auto"/>
        <w:bottom w:val="none" w:sz="0" w:space="0" w:color="auto"/>
        <w:right w:val="none" w:sz="0" w:space="0" w:color="auto"/>
      </w:divBdr>
    </w:div>
    <w:div w:id="1366097961">
      <w:bodyDiv w:val="1"/>
      <w:marLeft w:val="0"/>
      <w:marRight w:val="0"/>
      <w:marTop w:val="0"/>
      <w:marBottom w:val="0"/>
      <w:divBdr>
        <w:top w:val="none" w:sz="0" w:space="0" w:color="auto"/>
        <w:left w:val="none" w:sz="0" w:space="0" w:color="auto"/>
        <w:bottom w:val="none" w:sz="0" w:space="0" w:color="auto"/>
        <w:right w:val="none" w:sz="0" w:space="0" w:color="auto"/>
      </w:divBdr>
    </w:div>
    <w:div w:id="1430541474">
      <w:bodyDiv w:val="1"/>
      <w:marLeft w:val="0"/>
      <w:marRight w:val="0"/>
      <w:marTop w:val="0"/>
      <w:marBottom w:val="0"/>
      <w:divBdr>
        <w:top w:val="none" w:sz="0" w:space="0" w:color="auto"/>
        <w:left w:val="none" w:sz="0" w:space="0" w:color="auto"/>
        <w:bottom w:val="none" w:sz="0" w:space="0" w:color="auto"/>
        <w:right w:val="none" w:sz="0" w:space="0" w:color="auto"/>
      </w:divBdr>
    </w:div>
    <w:div w:id="1599605840">
      <w:bodyDiv w:val="1"/>
      <w:marLeft w:val="0"/>
      <w:marRight w:val="0"/>
      <w:marTop w:val="0"/>
      <w:marBottom w:val="0"/>
      <w:divBdr>
        <w:top w:val="none" w:sz="0" w:space="0" w:color="auto"/>
        <w:left w:val="none" w:sz="0" w:space="0" w:color="auto"/>
        <w:bottom w:val="none" w:sz="0" w:space="0" w:color="auto"/>
        <w:right w:val="none" w:sz="0" w:space="0" w:color="auto"/>
      </w:divBdr>
    </w:div>
    <w:div w:id="1629123575">
      <w:bodyDiv w:val="1"/>
      <w:marLeft w:val="0"/>
      <w:marRight w:val="0"/>
      <w:marTop w:val="0"/>
      <w:marBottom w:val="0"/>
      <w:divBdr>
        <w:top w:val="none" w:sz="0" w:space="0" w:color="auto"/>
        <w:left w:val="none" w:sz="0" w:space="0" w:color="auto"/>
        <w:bottom w:val="none" w:sz="0" w:space="0" w:color="auto"/>
        <w:right w:val="none" w:sz="0" w:space="0" w:color="auto"/>
      </w:divBdr>
    </w:div>
    <w:div w:id="1775055075">
      <w:bodyDiv w:val="1"/>
      <w:marLeft w:val="0"/>
      <w:marRight w:val="0"/>
      <w:marTop w:val="0"/>
      <w:marBottom w:val="0"/>
      <w:divBdr>
        <w:top w:val="none" w:sz="0" w:space="0" w:color="auto"/>
        <w:left w:val="none" w:sz="0" w:space="0" w:color="auto"/>
        <w:bottom w:val="none" w:sz="0" w:space="0" w:color="auto"/>
        <w:right w:val="none" w:sz="0" w:space="0" w:color="auto"/>
      </w:divBdr>
    </w:div>
    <w:div w:id="1840777748">
      <w:bodyDiv w:val="1"/>
      <w:marLeft w:val="0"/>
      <w:marRight w:val="0"/>
      <w:marTop w:val="0"/>
      <w:marBottom w:val="0"/>
      <w:divBdr>
        <w:top w:val="none" w:sz="0" w:space="0" w:color="auto"/>
        <w:left w:val="none" w:sz="0" w:space="0" w:color="auto"/>
        <w:bottom w:val="none" w:sz="0" w:space="0" w:color="auto"/>
        <w:right w:val="none" w:sz="0" w:space="0" w:color="auto"/>
      </w:divBdr>
    </w:div>
    <w:div w:id="1866364334">
      <w:bodyDiv w:val="1"/>
      <w:marLeft w:val="0"/>
      <w:marRight w:val="0"/>
      <w:marTop w:val="0"/>
      <w:marBottom w:val="0"/>
      <w:divBdr>
        <w:top w:val="none" w:sz="0" w:space="0" w:color="auto"/>
        <w:left w:val="none" w:sz="0" w:space="0" w:color="auto"/>
        <w:bottom w:val="none" w:sz="0" w:space="0" w:color="auto"/>
        <w:right w:val="none" w:sz="0" w:space="0" w:color="auto"/>
      </w:divBdr>
      <w:divsChild>
        <w:div w:id="1605380147">
          <w:marLeft w:val="0"/>
          <w:marRight w:val="0"/>
          <w:marTop w:val="90"/>
          <w:marBottom w:val="75"/>
          <w:divBdr>
            <w:top w:val="dashed" w:sz="6" w:space="5" w:color="B2B2B2"/>
            <w:left w:val="none" w:sz="0" w:space="0" w:color="auto"/>
            <w:bottom w:val="none" w:sz="0" w:space="0" w:color="auto"/>
            <w:right w:val="none" w:sz="0" w:space="0" w:color="auto"/>
          </w:divBdr>
          <w:divsChild>
            <w:div w:id="1593514665">
              <w:marLeft w:val="0"/>
              <w:marRight w:val="0"/>
              <w:marTop w:val="0"/>
              <w:marBottom w:val="75"/>
              <w:divBdr>
                <w:top w:val="none" w:sz="0" w:space="0" w:color="auto"/>
                <w:left w:val="none" w:sz="0" w:space="0" w:color="auto"/>
                <w:bottom w:val="none" w:sz="0" w:space="0" w:color="auto"/>
                <w:right w:val="none" w:sz="0" w:space="0" w:color="auto"/>
              </w:divBdr>
            </w:div>
          </w:divsChild>
        </w:div>
        <w:div w:id="1820463532">
          <w:marLeft w:val="0"/>
          <w:marRight w:val="0"/>
          <w:marTop w:val="90"/>
          <w:marBottom w:val="75"/>
          <w:divBdr>
            <w:top w:val="none" w:sz="0" w:space="0" w:color="auto"/>
            <w:left w:val="none" w:sz="0" w:space="0" w:color="auto"/>
            <w:bottom w:val="none" w:sz="0" w:space="0" w:color="auto"/>
            <w:right w:val="none" w:sz="0" w:space="0" w:color="auto"/>
          </w:divBdr>
        </w:div>
        <w:div w:id="2098403369">
          <w:marLeft w:val="0"/>
          <w:marRight w:val="0"/>
          <w:marTop w:val="0"/>
          <w:marBottom w:val="0"/>
          <w:divBdr>
            <w:top w:val="none" w:sz="0" w:space="0" w:color="auto"/>
            <w:left w:val="none" w:sz="0" w:space="0" w:color="auto"/>
            <w:bottom w:val="none" w:sz="0" w:space="0" w:color="auto"/>
            <w:right w:val="none" w:sz="0" w:space="0" w:color="auto"/>
          </w:divBdr>
        </w:div>
      </w:divsChild>
    </w:div>
    <w:div w:id="1876114055">
      <w:bodyDiv w:val="1"/>
      <w:marLeft w:val="0"/>
      <w:marRight w:val="0"/>
      <w:marTop w:val="0"/>
      <w:marBottom w:val="0"/>
      <w:divBdr>
        <w:top w:val="none" w:sz="0" w:space="0" w:color="auto"/>
        <w:left w:val="none" w:sz="0" w:space="0" w:color="auto"/>
        <w:bottom w:val="none" w:sz="0" w:space="0" w:color="auto"/>
        <w:right w:val="none" w:sz="0" w:space="0" w:color="auto"/>
      </w:divBdr>
    </w:div>
    <w:div w:id="1950971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nkingblog.accenture.com/banking-cloud-altimeter-magazine/volume-4-bank-cloud-mainframe-migr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ccenture.com/cz-en/about/company/newsro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233;ta%20Cinkov&#225;\Documents\Vlastn&#237;%20&#353;ablony%20Office\sablona%20TZ%20Accenture_4_2021.dot"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8D3A6-2019-4BCE-84AF-81A8D639AE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sablona TZ Accenture_4_2021</Template>
  <TotalTime>3</TotalTime>
  <Pages>3</Pages>
  <Words>996</Words>
  <Characters>5878</Characters>
  <Application>Microsoft Office Word</Application>
  <DocSecurity>0</DocSecurity>
  <Lines>48</Lines>
  <Paragraphs>13</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Accenture</Company>
  <LinksUpToDate>false</LinksUpToDate>
  <CharactersWithSpaces>6861</CharactersWithSpaces>
  <SharedDoc>false</SharedDoc>
  <HLinks>
    <vt:vector size="18" baseType="variant">
      <vt:variant>
        <vt:i4>7667734</vt:i4>
      </vt:variant>
      <vt:variant>
        <vt:i4>6</vt:i4>
      </vt:variant>
      <vt:variant>
        <vt:i4>0</vt:i4>
      </vt:variant>
      <vt:variant>
        <vt:i4>5</vt:i4>
      </vt:variant>
      <vt:variant>
        <vt:lpwstr>mailto:marketa.cinkova@aspen.pr</vt:lpwstr>
      </vt:variant>
      <vt:variant>
        <vt:lpwstr/>
      </vt:variant>
      <vt:variant>
        <vt:i4>5570607</vt:i4>
      </vt:variant>
      <vt:variant>
        <vt:i4>3</vt:i4>
      </vt:variant>
      <vt:variant>
        <vt:i4>0</vt:i4>
      </vt:variant>
      <vt:variant>
        <vt:i4>5</vt:i4>
      </vt:variant>
      <vt:variant>
        <vt:lpwstr>mailto:petr.jarkovsky@aspen.pr</vt:lpwstr>
      </vt:variant>
      <vt:variant>
        <vt:lpwstr/>
      </vt:variant>
      <vt:variant>
        <vt:i4>5832721</vt:i4>
      </vt:variant>
      <vt:variant>
        <vt:i4>0</vt:i4>
      </vt:variant>
      <vt:variant>
        <vt:i4>0</vt:i4>
      </vt:variant>
      <vt:variant>
        <vt:i4>5</vt:i4>
      </vt:variant>
      <vt:variant>
        <vt:lpwstr>http://www.accenture.com/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Markéta Cinková</dc:creator>
  <cp:keywords/>
  <cp:lastModifiedBy>Šárka Lachoutová</cp:lastModifiedBy>
  <cp:revision>2</cp:revision>
  <cp:lastPrinted>2004-08-03T08:51:00Z</cp:lastPrinted>
  <dcterms:created xsi:type="dcterms:W3CDTF">2022-05-17T17:35:00Z</dcterms:created>
  <dcterms:modified xsi:type="dcterms:W3CDTF">2022-05-17T17:35:00Z</dcterms:modified>
</cp:coreProperties>
</file>