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F6F279" w14:textId="0346A7DE" w:rsidR="00FB7FB5" w:rsidRPr="00735A10" w:rsidRDefault="005A6678">
      <w:pPr>
        <w:rPr>
          <w:rFonts w:ascii="Calibri" w:hAnsi="Calibri" w:cs="Calibri"/>
          <w:b/>
          <w:sz w:val="28"/>
          <w:szCs w:val="28"/>
        </w:rPr>
      </w:pPr>
      <w:r w:rsidRPr="005A1305">
        <w:rPr>
          <w:rFonts w:ascii="Calibri" w:hAnsi="Calibri" w:cs="Calibri"/>
          <w:b/>
          <w:sz w:val="28"/>
          <w:szCs w:val="28"/>
        </w:rPr>
        <w:t xml:space="preserve">Ve stavebnictví </w:t>
      </w:r>
      <w:r w:rsidR="00856771" w:rsidRPr="005A1305">
        <w:rPr>
          <w:rFonts w:ascii="Calibri" w:hAnsi="Calibri" w:cs="Calibri"/>
          <w:b/>
          <w:sz w:val="28"/>
          <w:szCs w:val="28"/>
        </w:rPr>
        <w:t xml:space="preserve">dále </w:t>
      </w:r>
      <w:r w:rsidRPr="005A1305">
        <w:rPr>
          <w:rFonts w:ascii="Calibri" w:hAnsi="Calibri" w:cs="Calibri"/>
          <w:b/>
          <w:sz w:val="28"/>
          <w:szCs w:val="28"/>
        </w:rPr>
        <w:t xml:space="preserve">rostou ceny vstupů, </w:t>
      </w:r>
      <w:r w:rsidR="003D41F5" w:rsidRPr="005A1305">
        <w:rPr>
          <w:rFonts w:ascii="Calibri" w:hAnsi="Calibri" w:cs="Calibri"/>
          <w:b/>
          <w:sz w:val="28"/>
          <w:szCs w:val="28"/>
        </w:rPr>
        <w:t>docházejí</w:t>
      </w:r>
      <w:r w:rsidRPr="005A1305">
        <w:rPr>
          <w:rFonts w:ascii="Calibri" w:hAnsi="Calibri" w:cs="Calibri"/>
          <w:b/>
          <w:sz w:val="28"/>
          <w:szCs w:val="28"/>
        </w:rPr>
        <w:t xml:space="preserve"> materiály a chybí dělníci</w:t>
      </w:r>
      <w:r w:rsidR="00805722" w:rsidRPr="005A1305">
        <w:rPr>
          <w:rFonts w:ascii="Calibri" w:hAnsi="Calibri" w:cs="Calibri"/>
          <w:b/>
          <w:sz w:val="28"/>
          <w:szCs w:val="28"/>
        </w:rPr>
        <w:t>.</w:t>
      </w:r>
      <w:r w:rsidRPr="005A1305">
        <w:rPr>
          <w:rFonts w:ascii="Calibri" w:hAnsi="Calibri" w:cs="Calibri"/>
          <w:b/>
          <w:sz w:val="28"/>
          <w:szCs w:val="28"/>
        </w:rPr>
        <w:t xml:space="preserve"> </w:t>
      </w:r>
      <w:r w:rsidR="00856771" w:rsidRPr="005A1305">
        <w:rPr>
          <w:rFonts w:ascii="Calibri" w:hAnsi="Calibri" w:cs="Calibri"/>
          <w:b/>
          <w:sz w:val="28"/>
          <w:szCs w:val="28"/>
        </w:rPr>
        <w:t>Na sklonku léta j</w:t>
      </w:r>
      <w:r w:rsidRPr="005A1305">
        <w:rPr>
          <w:rFonts w:ascii="Calibri" w:hAnsi="Calibri" w:cs="Calibri"/>
          <w:b/>
          <w:sz w:val="28"/>
          <w:szCs w:val="28"/>
        </w:rPr>
        <w:t xml:space="preserve">e více než o třetinu </w:t>
      </w:r>
      <w:r w:rsidR="003D41F5" w:rsidRPr="005A1305">
        <w:rPr>
          <w:rFonts w:ascii="Calibri" w:hAnsi="Calibri" w:cs="Calibri"/>
          <w:b/>
          <w:sz w:val="28"/>
          <w:szCs w:val="28"/>
        </w:rPr>
        <w:t xml:space="preserve">méně </w:t>
      </w:r>
      <w:r w:rsidRPr="005A1305">
        <w:rPr>
          <w:rFonts w:ascii="Calibri" w:hAnsi="Calibri" w:cs="Calibri"/>
          <w:b/>
          <w:sz w:val="28"/>
          <w:szCs w:val="28"/>
        </w:rPr>
        <w:t>nových projektů a těm stávajícím vázne dokončení</w:t>
      </w:r>
    </w:p>
    <w:p w14:paraId="76465321" w14:textId="77777777" w:rsidR="00735A10" w:rsidRDefault="00735A10">
      <w:pPr>
        <w:rPr>
          <w:rFonts w:ascii="Calibri" w:hAnsi="Calibri" w:cs="Calibri"/>
          <w:b/>
        </w:rPr>
      </w:pPr>
    </w:p>
    <w:p w14:paraId="2424B36B" w14:textId="22936F7E" w:rsidR="003D41F5" w:rsidRDefault="005E5A40" w:rsidP="003D41F5">
      <w:pPr>
        <w:rPr>
          <w:rFonts w:ascii="Calibri" w:hAnsi="Calibri" w:cs="Calibri"/>
          <w:b/>
        </w:rPr>
      </w:pPr>
      <w:r w:rsidRPr="00735A10">
        <w:rPr>
          <w:rFonts w:ascii="Calibri" w:hAnsi="Calibri" w:cs="Calibri"/>
          <w:b/>
        </w:rPr>
        <w:t xml:space="preserve">Praha, </w:t>
      </w:r>
      <w:r w:rsidR="00127E15">
        <w:rPr>
          <w:rFonts w:ascii="Calibri" w:hAnsi="Calibri" w:cs="Calibri"/>
          <w:b/>
        </w:rPr>
        <w:t>5. září</w:t>
      </w:r>
      <w:r w:rsidRPr="00735A10">
        <w:rPr>
          <w:rFonts w:ascii="Calibri" w:hAnsi="Calibri" w:cs="Calibri"/>
          <w:b/>
        </w:rPr>
        <w:t xml:space="preserve"> 202</w:t>
      </w:r>
      <w:r w:rsidR="00735A10">
        <w:rPr>
          <w:rFonts w:ascii="Calibri" w:hAnsi="Calibri" w:cs="Calibri"/>
          <w:b/>
        </w:rPr>
        <w:t>2</w:t>
      </w:r>
      <w:r w:rsidRPr="00735A10">
        <w:rPr>
          <w:rFonts w:ascii="Calibri" w:hAnsi="Calibri" w:cs="Calibri"/>
          <w:b/>
        </w:rPr>
        <w:t xml:space="preserve"> </w:t>
      </w:r>
      <w:r w:rsidR="00884836" w:rsidRPr="00735A10">
        <w:rPr>
          <w:rFonts w:ascii="Calibri" w:hAnsi="Calibri" w:cs="Calibri"/>
          <w:b/>
        </w:rPr>
        <w:t>–</w:t>
      </w:r>
      <w:r w:rsidRPr="00735A10">
        <w:rPr>
          <w:rFonts w:ascii="Calibri" w:hAnsi="Calibri" w:cs="Calibri"/>
          <w:b/>
        </w:rPr>
        <w:t xml:space="preserve"> </w:t>
      </w:r>
      <w:r w:rsidR="00FF11F0" w:rsidRPr="00A3756B">
        <w:rPr>
          <w:rFonts w:ascii="Calibri" w:hAnsi="Calibri" w:cs="Calibri"/>
          <w:b/>
        </w:rPr>
        <w:t xml:space="preserve">Válka na Ukrajině se citelně dotýká českého stavebnictví. </w:t>
      </w:r>
      <w:r w:rsidR="00FF11F0">
        <w:rPr>
          <w:rFonts w:ascii="Calibri" w:hAnsi="Calibri" w:cs="Calibri"/>
          <w:b/>
        </w:rPr>
        <w:t>A</w:t>
      </w:r>
      <w:r w:rsidR="00C313BB">
        <w:rPr>
          <w:rFonts w:ascii="Calibri" w:hAnsi="Calibri" w:cs="Calibri"/>
          <w:b/>
        </w:rPr>
        <w:t xml:space="preserve">ktuálně </w:t>
      </w:r>
      <w:r w:rsidR="00FF11F0">
        <w:rPr>
          <w:rFonts w:ascii="Calibri" w:hAnsi="Calibri" w:cs="Calibri"/>
          <w:b/>
        </w:rPr>
        <w:t xml:space="preserve">jej </w:t>
      </w:r>
      <w:r w:rsidR="00C313BB">
        <w:rPr>
          <w:rFonts w:ascii="Calibri" w:hAnsi="Calibri" w:cs="Calibri"/>
          <w:b/>
        </w:rPr>
        <w:t>trápí z</w:t>
      </w:r>
      <w:r w:rsidR="003D41F5" w:rsidRPr="00735A10">
        <w:rPr>
          <w:rFonts w:ascii="Calibri" w:hAnsi="Calibri" w:cs="Calibri"/>
          <w:b/>
        </w:rPr>
        <w:t>dražování vstupních surovin</w:t>
      </w:r>
      <w:r w:rsidR="00C313BB">
        <w:rPr>
          <w:rFonts w:ascii="Calibri" w:hAnsi="Calibri" w:cs="Calibri"/>
          <w:b/>
        </w:rPr>
        <w:t>,</w:t>
      </w:r>
      <w:r w:rsidR="00C313BB" w:rsidRPr="00C313BB">
        <w:rPr>
          <w:rFonts w:ascii="Calibri" w:hAnsi="Calibri" w:cs="Calibri"/>
          <w:b/>
        </w:rPr>
        <w:t xml:space="preserve"> </w:t>
      </w:r>
      <w:r w:rsidR="00C313BB">
        <w:rPr>
          <w:rFonts w:ascii="Calibri" w:hAnsi="Calibri" w:cs="Calibri"/>
          <w:b/>
        </w:rPr>
        <w:t>energií a</w:t>
      </w:r>
      <w:r w:rsidR="00C313BB" w:rsidRPr="00735A10">
        <w:rPr>
          <w:rFonts w:ascii="Calibri" w:hAnsi="Calibri" w:cs="Calibri"/>
          <w:b/>
        </w:rPr>
        <w:t xml:space="preserve"> dopravy</w:t>
      </w:r>
      <w:r w:rsidR="003D41F5" w:rsidRPr="00735A10">
        <w:rPr>
          <w:rFonts w:ascii="Calibri" w:hAnsi="Calibri" w:cs="Calibri"/>
          <w:b/>
        </w:rPr>
        <w:t>,</w:t>
      </w:r>
      <w:r w:rsidR="00FC6C2F">
        <w:rPr>
          <w:rFonts w:ascii="Calibri" w:hAnsi="Calibri" w:cs="Calibri"/>
          <w:b/>
        </w:rPr>
        <w:t xml:space="preserve"> i </w:t>
      </w:r>
      <w:r w:rsidR="00C313BB">
        <w:rPr>
          <w:rFonts w:ascii="Calibri" w:hAnsi="Calibri" w:cs="Calibri"/>
          <w:b/>
        </w:rPr>
        <w:t xml:space="preserve">zdražování a nedostatek </w:t>
      </w:r>
      <w:r w:rsidR="003D41F5" w:rsidRPr="00735A10">
        <w:rPr>
          <w:rFonts w:ascii="Calibri" w:hAnsi="Calibri" w:cs="Calibri"/>
          <w:b/>
        </w:rPr>
        <w:t>materiálů</w:t>
      </w:r>
      <w:r w:rsidR="00C313BB">
        <w:rPr>
          <w:rFonts w:ascii="Calibri" w:hAnsi="Calibri" w:cs="Calibri"/>
          <w:b/>
        </w:rPr>
        <w:t xml:space="preserve">. </w:t>
      </w:r>
      <w:r w:rsidR="00A3756B" w:rsidRPr="00A3756B">
        <w:rPr>
          <w:rFonts w:ascii="Calibri" w:hAnsi="Calibri" w:cs="Calibri"/>
          <w:b/>
        </w:rPr>
        <w:t>Způsobila další nárůst cen stavebních materiálů</w:t>
      </w:r>
      <w:r w:rsidR="00A3756B">
        <w:rPr>
          <w:rFonts w:ascii="Calibri" w:hAnsi="Calibri" w:cs="Calibri"/>
          <w:b/>
        </w:rPr>
        <w:t>.</w:t>
      </w:r>
      <w:r w:rsidR="00A3756B" w:rsidRPr="00A3756B">
        <w:rPr>
          <w:rFonts w:ascii="Calibri" w:hAnsi="Calibri" w:cs="Calibri"/>
          <w:b/>
        </w:rPr>
        <w:t xml:space="preserve"> </w:t>
      </w:r>
      <w:r w:rsidR="00C313BB" w:rsidRPr="005A1305">
        <w:rPr>
          <w:rFonts w:ascii="Calibri" w:hAnsi="Calibri" w:cs="Calibri"/>
          <w:b/>
        </w:rPr>
        <w:t xml:space="preserve">Neméně pak nedostatek </w:t>
      </w:r>
      <w:r w:rsidR="00FF11F0" w:rsidRPr="005A1305">
        <w:rPr>
          <w:rFonts w:ascii="Calibri" w:hAnsi="Calibri" w:cs="Calibri"/>
          <w:b/>
        </w:rPr>
        <w:t>pracovní síly</w:t>
      </w:r>
      <w:r w:rsidR="003D41F5" w:rsidRPr="005A1305">
        <w:rPr>
          <w:rFonts w:ascii="Calibri" w:hAnsi="Calibri" w:cs="Calibri"/>
          <w:b/>
        </w:rPr>
        <w:t xml:space="preserve">. Nouze nutí firmy ve stavebnictví hledat nové cesty, jak </w:t>
      </w:r>
      <w:r w:rsidR="00FF11F0" w:rsidRPr="005A1305">
        <w:rPr>
          <w:rFonts w:ascii="Calibri" w:hAnsi="Calibri" w:cs="Calibri"/>
          <w:b/>
        </w:rPr>
        <w:t xml:space="preserve">alespoň nahradit </w:t>
      </w:r>
      <w:r w:rsidR="003D41F5" w:rsidRPr="005A1305">
        <w:rPr>
          <w:rFonts w:ascii="Calibri" w:hAnsi="Calibri" w:cs="Calibri"/>
          <w:b/>
        </w:rPr>
        <w:t>chybějící materiály.</w:t>
      </w:r>
    </w:p>
    <w:p w14:paraId="48ADB15E" w14:textId="505D32AD" w:rsidR="00E8767B" w:rsidRPr="00E8767B" w:rsidRDefault="005A6678" w:rsidP="00E8767B">
      <w:pPr>
        <w:rPr>
          <w:rFonts w:ascii="Calibri" w:hAnsi="Calibri" w:cs="Calibri"/>
          <w:bCs/>
        </w:rPr>
      </w:pPr>
      <w:r w:rsidRPr="005A6678">
        <w:rPr>
          <w:rFonts w:ascii="Calibri" w:hAnsi="Calibri" w:cs="Calibri"/>
          <w:bCs/>
        </w:rPr>
        <w:t xml:space="preserve">Ceny stavebních materiálů </w:t>
      </w:r>
      <w:r w:rsidR="00716295">
        <w:rPr>
          <w:rFonts w:ascii="Calibri" w:hAnsi="Calibri" w:cs="Calibri"/>
          <w:bCs/>
        </w:rPr>
        <w:t xml:space="preserve">dlouhodobě </w:t>
      </w:r>
      <w:r w:rsidRPr="005A6678">
        <w:rPr>
          <w:rFonts w:ascii="Calibri" w:hAnsi="Calibri" w:cs="Calibri"/>
          <w:bCs/>
        </w:rPr>
        <w:t xml:space="preserve">stoupají vlivem pandemie koronaviru, </w:t>
      </w:r>
      <w:r w:rsidR="00716295">
        <w:rPr>
          <w:rFonts w:ascii="Calibri" w:hAnsi="Calibri" w:cs="Calibri"/>
          <w:bCs/>
        </w:rPr>
        <w:t>válečným konfliktem na</w:t>
      </w:r>
      <w:r w:rsidRPr="005A6678">
        <w:rPr>
          <w:rFonts w:ascii="Calibri" w:hAnsi="Calibri" w:cs="Calibri"/>
          <w:bCs/>
        </w:rPr>
        <w:t xml:space="preserve"> Ukrajin</w:t>
      </w:r>
      <w:r w:rsidR="00716295">
        <w:rPr>
          <w:rFonts w:ascii="Calibri" w:hAnsi="Calibri" w:cs="Calibri"/>
          <w:bCs/>
        </w:rPr>
        <w:t>ě</w:t>
      </w:r>
      <w:r w:rsidRPr="005A6678">
        <w:rPr>
          <w:rFonts w:ascii="Calibri" w:hAnsi="Calibri" w:cs="Calibri"/>
          <w:bCs/>
        </w:rPr>
        <w:t xml:space="preserve"> ještě vzrostly. Některé komodity meziročně </w:t>
      </w:r>
      <w:r w:rsidR="00716295">
        <w:rPr>
          <w:rFonts w:ascii="Calibri" w:hAnsi="Calibri" w:cs="Calibri"/>
          <w:bCs/>
        </w:rPr>
        <w:t xml:space="preserve">skokově </w:t>
      </w:r>
      <w:r w:rsidRPr="005A6678">
        <w:rPr>
          <w:rFonts w:ascii="Calibri" w:hAnsi="Calibri" w:cs="Calibri"/>
          <w:bCs/>
        </w:rPr>
        <w:t xml:space="preserve">zdražily. </w:t>
      </w:r>
      <w:r w:rsidR="00E8767B" w:rsidRPr="00E8767B">
        <w:rPr>
          <w:rFonts w:ascii="Calibri" w:hAnsi="Calibri" w:cs="Calibri"/>
          <w:bCs/>
        </w:rPr>
        <w:t>Válka měla velký vliv na nedostatek a zdražení oceli. Razantní zdražení plynu může mít vliv na cenu pálených materiálů, jako je dlažba, cihly či tašky.</w:t>
      </w:r>
    </w:p>
    <w:p w14:paraId="78A0A9D0" w14:textId="672BF285" w:rsidR="00E8767B" w:rsidRPr="00E8767B" w:rsidRDefault="000700DE" w:rsidP="00E8767B">
      <w:pPr>
        <w:rPr>
          <w:rFonts w:ascii="Calibri" w:hAnsi="Calibri" w:cs="Calibri"/>
          <w:bCs/>
        </w:rPr>
      </w:pPr>
      <w:r>
        <w:rPr>
          <w:rFonts w:ascii="Calibri" w:hAnsi="Calibri" w:cs="Calibri"/>
          <w:bCs/>
        </w:rPr>
        <w:t>D</w:t>
      </w:r>
      <w:r w:rsidRPr="00E8767B">
        <w:rPr>
          <w:rFonts w:ascii="Calibri" w:hAnsi="Calibri" w:cs="Calibri"/>
          <w:bCs/>
        </w:rPr>
        <w:t xml:space="preserve">louhodobý nedostatek pracovníků v dělnických </w:t>
      </w:r>
      <w:r>
        <w:rPr>
          <w:rFonts w:ascii="Calibri" w:hAnsi="Calibri" w:cs="Calibri"/>
          <w:bCs/>
        </w:rPr>
        <w:t>profesích se konfliktem na Ukrajině ještě prohloubil. I když Ukrajinci pracující v Česku neodcházeli masivně ti, kteří byli v době konfliktu na Ukrajině</w:t>
      </w:r>
      <w:r w:rsidR="00E8767B" w:rsidRPr="00E8767B">
        <w:rPr>
          <w:rFonts w:ascii="Calibri" w:hAnsi="Calibri" w:cs="Calibri"/>
          <w:bCs/>
        </w:rPr>
        <w:t xml:space="preserve">, se kvůli mobilizaci nemohli vrátit. </w:t>
      </w:r>
      <w:r>
        <w:rPr>
          <w:rFonts w:ascii="Calibri" w:hAnsi="Calibri" w:cs="Calibri"/>
          <w:bCs/>
        </w:rPr>
        <w:t>Stavebním firmám to činí problémy v doplňování stavu.</w:t>
      </w:r>
    </w:p>
    <w:p w14:paraId="3278CC6D" w14:textId="0E843C08" w:rsidR="003D41F5" w:rsidRPr="003D41F5" w:rsidRDefault="00036BCF" w:rsidP="003D41F5">
      <w:pPr>
        <w:rPr>
          <w:rFonts w:ascii="Calibri" w:hAnsi="Calibri" w:cs="Calibri"/>
          <w:bCs/>
        </w:rPr>
      </w:pPr>
      <w:r>
        <w:rPr>
          <w:rFonts w:ascii="Calibri" w:hAnsi="Calibri" w:cs="Calibri"/>
          <w:bCs/>
        </w:rPr>
        <w:t xml:space="preserve">Díky celkové situaci je aktuálně až o 30 % méně nových staveb. </w:t>
      </w:r>
      <w:r w:rsidR="00DC621F">
        <w:rPr>
          <w:rFonts w:ascii="Calibri" w:hAnsi="Calibri" w:cs="Calibri"/>
          <w:bCs/>
        </w:rPr>
        <w:t>Z</w:t>
      </w:r>
      <w:r w:rsidR="00DC621F" w:rsidRPr="003D41F5">
        <w:rPr>
          <w:rFonts w:ascii="Calibri" w:hAnsi="Calibri" w:cs="Calibri"/>
          <w:bCs/>
        </w:rPr>
        <w:t xml:space="preserve"> důvodu růstu cen materiálů a nedostatku stavebních kapacit</w:t>
      </w:r>
      <w:r w:rsidR="00DC621F">
        <w:rPr>
          <w:rFonts w:ascii="Calibri" w:hAnsi="Calibri" w:cs="Calibri"/>
          <w:bCs/>
        </w:rPr>
        <w:t xml:space="preserve"> </w:t>
      </w:r>
      <w:r>
        <w:rPr>
          <w:rFonts w:ascii="Calibri" w:hAnsi="Calibri" w:cs="Calibri"/>
          <w:bCs/>
        </w:rPr>
        <w:t xml:space="preserve">také </w:t>
      </w:r>
      <w:r w:rsidR="00DC621F">
        <w:rPr>
          <w:rFonts w:ascii="Calibri" w:hAnsi="Calibri" w:cs="Calibri"/>
          <w:bCs/>
        </w:rPr>
        <w:t>vázne dokončování</w:t>
      </w:r>
      <w:r w:rsidR="003D41F5" w:rsidRPr="003D41F5">
        <w:rPr>
          <w:rFonts w:ascii="Calibri" w:hAnsi="Calibri" w:cs="Calibri"/>
          <w:bCs/>
        </w:rPr>
        <w:t xml:space="preserve"> </w:t>
      </w:r>
      <w:r w:rsidR="00716295">
        <w:rPr>
          <w:rFonts w:ascii="Calibri" w:hAnsi="Calibri" w:cs="Calibri"/>
          <w:bCs/>
        </w:rPr>
        <w:t>staveb</w:t>
      </w:r>
      <w:r w:rsidR="00F819EA">
        <w:rPr>
          <w:rFonts w:ascii="Calibri" w:hAnsi="Calibri" w:cs="Calibri"/>
          <w:bCs/>
        </w:rPr>
        <w:t xml:space="preserve">, říkají údaje </w:t>
      </w:r>
      <w:r w:rsidR="00AF76CF">
        <w:rPr>
          <w:rFonts w:ascii="Calibri" w:hAnsi="Calibri" w:cs="Calibri"/>
          <w:bCs/>
        </w:rPr>
        <w:t>ČSÚ</w:t>
      </w:r>
      <w:r w:rsidR="003D41F5" w:rsidRPr="003D41F5">
        <w:rPr>
          <w:rFonts w:ascii="Calibri" w:hAnsi="Calibri" w:cs="Calibri"/>
          <w:bCs/>
        </w:rPr>
        <w:t xml:space="preserve">. </w:t>
      </w:r>
      <w:r w:rsidR="00716295">
        <w:rPr>
          <w:rFonts w:ascii="Calibri" w:hAnsi="Calibri" w:cs="Calibri"/>
          <w:bCs/>
        </w:rPr>
        <w:t>Ty</w:t>
      </w:r>
      <w:r w:rsidR="00DC621F">
        <w:rPr>
          <w:rFonts w:ascii="Calibri" w:hAnsi="Calibri" w:cs="Calibri"/>
          <w:bCs/>
        </w:rPr>
        <w:t xml:space="preserve"> se</w:t>
      </w:r>
      <w:r w:rsidR="003D41F5" w:rsidRPr="003D41F5">
        <w:rPr>
          <w:rFonts w:ascii="Calibri" w:hAnsi="Calibri" w:cs="Calibri"/>
          <w:bCs/>
        </w:rPr>
        <w:t xml:space="preserve"> zpomalují </w:t>
      </w:r>
      <w:r w:rsidR="00DC621F">
        <w:rPr>
          <w:rFonts w:ascii="Calibri" w:hAnsi="Calibri" w:cs="Calibri"/>
          <w:bCs/>
        </w:rPr>
        <w:t>a také</w:t>
      </w:r>
      <w:r w:rsidR="003D41F5" w:rsidRPr="003D41F5">
        <w:rPr>
          <w:rFonts w:ascii="Calibri" w:hAnsi="Calibri" w:cs="Calibri"/>
          <w:bCs/>
        </w:rPr>
        <w:t xml:space="preserve"> prodražují. Do cen stavebních materiálů se promítá také růst cen energií a pohonných hmot. </w:t>
      </w:r>
      <w:r w:rsidR="003A1066" w:rsidRPr="003D41F5">
        <w:rPr>
          <w:rFonts w:ascii="Calibri" w:hAnsi="Calibri" w:cs="Calibri"/>
          <w:bCs/>
        </w:rPr>
        <w:t xml:space="preserve">Cena energie tvoří podstatnou část nákladů na výrobu základních stavebních materiálů. </w:t>
      </w:r>
      <w:r w:rsidR="00716295">
        <w:rPr>
          <w:rFonts w:ascii="Calibri" w:hAnsi="Calibri" w:cs="Calibri"/>
          <w:bCs/>
        </w:rPr>
        <w:t>N</w:t>
      </w:r>
      <w:r w:rsidR="00716295" w:rsidRPr="003D41F5">
        <w:rPr>
          <w:rFonts w:ascii="Calibri" w:hAnsi="Calibri" w:cs="Calibri"/>
          <w:bCs/>
        </w:rPr>
        <w:t xml:space="preserve">ejvíce </w:t>
      </w:r>
      <w:r w:rsidR="003A1066">
        <w:rPr>
          <w:rFonts w:ascii="Calibri" w:hAnsi="Calibri" w:cs="Calibri"/>
          <w:bCs/>
        </w:rPr>
        <w:t>jsou však nyní</w:t>
      </w:r>
      <w:r w:rsidR="003A1066" w:rsidRPr="003D41F5">
        <w:rPr>
          <w:rFonts w:ascii="Calibri" w:hAnsi="Calibri" w:cs="Calibri"/>
          <w:bCs/>
        </w:rPr>
        <w:t xml:space="preserve"> </w:t>
      </w:r>
      <w:r w:rsidR="00716295" w:rsidRPr="003D41F5">
        <w:rPr>
          <w:rFonts w:ascii="Calibri" w:hAnsi="Calibri" w:cs="Calibri"/>
          <w:bCs/>
        </w:rPr>
        <w:t>zasažené výrobky</w:t>
      </w:r>
      <w:r w:rsidR="00716295">
        <w:rPr>
          <w:rFonts w:ascii="Calibri" w:hAnsi="Calibri" w:cs="Calibri"/>
          <w:bCs/>
        </w:rPr>
        <w:t xml:space="preserve"> z oceli</w:t>
      </w:r>
      <w:r w:rsidR="00716295" w:rsidRPr="003D41F5">
        <w:rPr>
          <w:rFonts w:ascii="Calibri" w:hAnsi="Calibri" w:cs="Calibri"/>
          <w:bCs/>
        </w:rPr>
        <w:t>.</w:t>
      </w:r>
      <w:r w:rsidR="003A1066">
        <w:rPr>
          <w:rFonts w:ascii="Calibri" w:hAnsi="Calibri" w:cs="Calibri"/>
          <w:bCs/>
        </w:rPr>
        <w:t xml:space="preserve"> </w:t>
      </w:r>
    </w:p>
    <w:p w14:paraId="00DD6E29" w14:textId="77777777" w:rsidR="00982316" w:rsidRDefault="001B747F" w:rsidP="00107F76">
      <w:pPr>
        <w:rPr>
          <w:rFonts w:ascii="Calibri" w:hAnsi="Calibri" w:cs="Calibri"/>
          <w:bCs/>
        </w:rPr>
      </w:pPr>
      <w:r>
        <w:rPr>
          <w:rFonts w:ascii="Calibri" w:hAnsi="Calibri" w:cs="Calibri"/>
          <w:bCs/>
        </w:rPr>
        <w:t xml:space="preserve">Stavební segment </w:t>
      </w:r>
      <w:r w:rsidR="00805722">
        <w:rPr>
          <w:rFonts w:ascii="Calibri" w:hAnsi="Calibri" w:cs="Calibri"/>
          <w:bCs/>
        </w:rPr>
        <w:t>aktuálně</w:t>
      </w:r>
      <w:r w:rsidR="000921CB">
        <w:rPr>
          <w:rFonts w:ascii="Calibri" w:hAnsi="Calibri" w:cs="Calibri"/>
          <w:bCs/>
        </w:rPr>
        <w:t xml:space="preserve"> </w:t>
      </w:r>
      <w:r w:rsidR="00735A10" w:rsidRPr="00735A10">
        <w:rPr>
          <w:rFonts w:ascii="Calibri" w:hAnsi="Calibri" w:cs="Calibri"/>
          <w:bCs/>
        </w:rPr>
        <w:t xml:space="preserve">čelí </w:t>
      </w:r>
      <w:r w:rsidR="003A1066">
        <w:rPr>
          <w:rFonts w:ascii="Calibri" w:hAnsi="Calibri" w:cs="Calibri"/>
          <w:bCs/>
        </w:rPr>
        <w:t xml:space="preserve">také </w:t>
      </w:r>
      <w:r w:rsidR="00735A10" w:rsidRPr="00735A10">
        <w:rPr>
          <w:rFonts w:ascii="Calibri" w:hAnsi="Calibri" w:cs="Calibri"/>
          <w:bCs/>
        </w:rPr>
        <w:t xml:space="preserve">kritickému nedostatku </w:t>
      </w:r>
      <w:r w:rsidR="00805722">
        <w:rPr>
          <w:rFonts w:ascii="Calibri" w:hAnsi="Calibri" w:cs="Calibri"/>
          <w:bCs/>
        </w:rPr>
        <w:t>železa</w:t>
      </w:r>
      <w:r w:rsidR="000921CB">
        <w:rPr>
          <w:rFonts w:ascii="Calibri" w:hAnsi="Calibri" w:cs="Calibri"/>
          <w:bCs/>
        </w:rPr>
        <w:t xml:space="preserve">. </w:t>
      </w:r>
      <w:r>
        <w:rPr>
          <w:rFonts w:ascii="Calibri" w:hAnsi="Calibri" w:cs="Calibri"/>
          <w:bCs/>
        </w:rPr>
        <w:t>Hlavním d</w:t>
      </w:r>
      <w:r w:rsidR="00735A10" w:rsidRPr="00735A10">
        <w:rPr>
          <w:rFonts w:ascii="Calibri" w:hAnsi="Calibri" w:cs="Calibri"/>
          <w:bCs/>
        </w:rPr>
        <w:t xml:space="preserve">ůvodem </w:t>
      </w:r>
      <w:r w:rsidR="00966B9C">
        <w:rPr>
          <w:rFonts w:ascii="Calibri" w:hAnsi="Calibri" w:cs="Calibri"/>
          <w:bCs/>
        </w:rPr>
        <w:t xml:space="preserve">je nedostatek </w:t>
      </w:r>
      <w:r w:rsidR="00735A10" w:rsidRPr="00735A10">
        <w:rPr>
          <w:rFonts w:ascii="Calibri" w:hAnsi="Calibri" w:cs="Calibri"/>
          <w:bCs/>
        </w:rPr>
        <w:t>železné rudy z Ukrajiny.</w:t>
      </w:r>
      <w:r>
        <w:rPr>
          <w:rFonts w:ascii="Calibri" w:hAnsi="Calibri" w:cs="Calibri"/>
          <w:bCs/>
        </w:rPr>
        <w:t xml:space="preserve"> Stále více stavebních společností se proto poohlíží po vhodné alternativě. </w:t>
      </w:r>
      <w:r w:rsidR="003A1066">
        <w:rPr>
          <w:rFonts w:ascii="Calibri" w:hAnsi="Calibri" w:cs="Calibri"/>
          <w:bCs/>
        </w:rPr>
        <w:t>N</w:t>
      </w:r>
      <w:r w:rsidR="009A6097" w:rsidRPr="009A6097">
        <w:rPr>
          <w:rFonts w:ascii="Calibri" w:hAnsi="Calibri" w:cs="Calibri"/>
          <w:bCs/>
        </w:rPr>
        <w:t xml:space="preserve">edostatek železa ve stavebnictví tak nahrazují nové materiály, jako jsou například kompozitní tyče vhodné ke zpevňování betonu. Jedná se o produkt na bázi epoxidové pryskyřice, posílený skelnými vlákny. </w:t>
      </w:r>
    </w:p>
    <w:p w14:paraId="31CD968C" w14:textId="33A29FE9" w:rsidR="009A6097" w:rsidRPr="009A6097" w:rsidRDefault="009A6097" w:rsidP="00107F76">
      <w:pPr>
        <w:rPr>
          <w:rFonts w:ascii="Calibri" w:hAnsi="Calibri" w:cs="Calibri"/>
          <w:bCs/>
        </w:rPr>
      </w:pPr>
      <w:r w:rsidRPr="009A6097">
        <w:rPr>
          <w:rFonts w:ascii="Calibri" w:hAnsi="Calibri" w:cs="Calibri"/>
          <w:bCs/>
        </w:rPr>
        <w:t xml:space="preserve">„V současné komplikované mezinárodní situaci, kdy není zcela jasné, zda a kdy se situace vrátí do normálu, si alternativní materiály získávají stále větší pozornost. Například beton vyztužený GFRP výztuží je pak nyní velmi žádanou alternativou železobetonu, kterého je nyní nedostatek,“ říká Matúš </w:t>
      </w:r>
      <w:proofErr w:type="spellStart"/>
      <w:r w:rsidRPr="009A6097">
        <w:rPr>
          <w:rFonts w:ascii="Calibri" w:hAnsi="Calibri" w:cs="Calibri"/>
          <w:bCs/>
        </w:rPr>
        <w:t>Jaremko</w:t>
      </w:r>
      <w:proofErr w:type="spellEnd"/>
      <w:r w:rsidRPr="009A6097">
        <w:rPr>
          <w:rFonts w:ascii="Calibri" w:hAnsi="Calibri" w:cs="Calibri"/>
          <w:bCs/>
        </w:rPr>
        <w:t>, CEO společnosti</w:t>
      </w:r>
      <w:r w:rsidR="005A1305">
        <w:rPr>
          <w:rFonts w:ascii="Calibri" w:hAnsi="Calibri" w:cs="Calibri"/>
          <w:bCs/>
        </w:rPr>
        <w:t xml:space="preserve"> Tesla</w:t>
      </w:r>
      <w:r w:rsidRPr="009A6097">
        <w:rPr>
          <w:rFonts w:ascii="Calibri" w:hAnsi="Calibri" w:cs="Calibri"/>
          <w:bCs/>
        </w:rPr>
        <w:t xml:space="preserve"> </w:t>
      </w:r>
      <w:proofErr w:type="spellStart"/>
      <w:r w:rsidRPr="009A6097">
        <w:rPr>
          <w:rFonts w:ascii="Calibri" w:hAnsi="Calibri" w:cs="Calibri"/>
          <w:bCs/>
        </w:rPr>
        <w:t>Fiberox</w:t>
      </w:r>
      <w:proofErr w:type="spellEnd"/>
      <w:r w:rsidRPr="009A6097">
        <w:rPr>
          <w:rFonts w:ascii="Calibri" w:hAnsi="Calibri" w:cs="Calibri"/>
          <w:bCs/>
        </w:rPr>
        <w:t>.</w:t>
      </w:r>
    </w:p>
    <w:p w14:paraId="7F14D28F" w14:textId="37F8D073" w:rsidR="00805722" w:rsidRPr="00735A10" w:rsidRDefault="00805722" w:rsidP="00805722">
      <w:pPr>
        <w:rPr>
          <w:rFonts w:ascii="Calibri" w:hAnsi="Calibri" w:cs="Calibri"/>
          <w:bCs/>
        </w:rPr>
      </w:pPr>
      <w:r w:rsidRPr="001B47BB">
        <w:rPr>
          <w:rFonts w:ascii="Calibri" w:hAnsi="Calibri" w:cs="Calibri"/>
          <w:bCs/>
        </w:rPr>
        <w:t xml:space="preserve">Kvůli drahým </w:t>
      </w:r>
      <w:r w:rsidRPr="005203B7">
        <w:rPr>
          <w:rFonts w:ascii="Calibri" w:hAnsi="Calibri" w:cs="Calibri"/>
          <w:bCs/>
        </w:rPr>
        <w:t xml:space="preserve">energiím a dalším rostoucím nákladům roste </w:t>
      </w:r>
      <w:r w:rsidR="00AF76CF" w:rsidRPr="005203B7">
        <w:rPr>
          <w:rFonts w:ascii="Calibri" w:hAnsi="Calibri" w:cs="Calibri"/>
          <w:bCs/>
        </w:rPr>
        <w:t xml:space="preserve">také </w:t>
      </w:r>
      <w:r w:rsidRPr="005203B7">
        <w:rPr>
          <w:rFonts w:ascii="Calibri" w:hAnsi="Calibri" w:cs="Calibri"/>
          <w:bCs/>
        </w:rPr>
        <w:t>cena skla</w:t>
      </w:r>
      <w:r w:rsidR="00AF76CF" w:rsidRPr="005203B7">
        <w:rPr>
          <w:rFonts w:ascii="Calibri" w:hAnsi="Calibri" w:cs="Calibri"/>
          <w:bCs/>
        </w:rPr>
        <w:t>, které je také důležité také pro stavební průmysl</w:t>
      </w:r>
      <w:r w:rsidRPr="005203B7">
        <w:rPr>
          <w:rFonts w:ascii="Calibri" w:hAnsi="Calibri" w:cs="Calibri"/>
          <w:bCs/>
        </w:rPr>
        <w:t>. V</w:t>
      </w:r>
      <w:r w:rsidR="00982316" w:rsidRPr="005203B7">
        <w:rPr>
          <w:rFonts w:ascii="Calibri" w:hAnsi="Calibri" w:cs="Calibri"/>
          <w:bCs/>
        </w:rPr>
        <w:t xml:space="preserve"> porovnání </w:t>
      </w:r>
      <w:r w:rsidR="005203B7" w:rsidRPr="005203B7">
        <w:rPr>
          <w:rFonts w:ascii="Calibri" w:hAnsi="Calibri" w:cs="Calibri"/>
          <w:bCs/>
        </w:rPr>
        <w:t xml:space="preserve">se začátkem roku 2021 je </w:t>
      </w:r>
      <w:r w:rsidRPr="005203B7">
        <w:rPr>
          <w:rFonts w:ascii="Calibri" w:hAnsi="Calibri" w:cs="Calibri"/>
          <w:bCs/>
        </w:rPr>
        <w:t xml:space="preserve">pak je vyšší </w:t>
      </w:r>
      <w:r w:rsidR="005203B7">
        <w:rPr>
          <w:rFonts w:ascii="Calibri" w:hAnsi="Calibri" w:cs="Calibri"/>
          <w:bCs/>
        </w:rPr>
        <w:t xml:space="preserve">skoro </w:t>
      </w:r>
      <w:r w:rsidR="00241B9A">
        <w:rPr>
          <w:rFonts w:ascii="Calibri" w:hAnsi="Calibri" w:cs="Calibri"/>
          <w:bCs/>
        </w:rPr>
        <w:t>o polovinu</w:t>
      </w:r>
      <w:r w:rsidR="005203B7">
        <w:rPr>
          <w:rFonts w:ascii="Calibri" w:hAnsi="Calibri" w:cs="Calibri"/>
          <w:bCs/>
        </w:rPr>
        <w:t xml:space="preserve">. </w:t>
      </w:r>
      <w:r>
        <w:rPr>
          <w:rFonts w:ascii="Calibri" w:hAnsi="Calibri" w:cs="Calibri"/>
          <w:bCs/>
        </w:rPr>
        <w:t>To komplikuje situaci mnoha výrobcům.</w:t>
      </w:r>
      <w:r w:rsidR="00AF76CF">
        <w:rPr>
          <w:rFonts w:ascii="Calibri" w:hAnsi="Calibri" w:cs="Calibri"/>
          <w:bCs/>
        </w:rPr>
        <w:t xml:space="preserve"> </w:t>
      </w:r>
      <w:r w:rsidRPr="001B47BB">
        <w:rPr>
          <w:rFonts w:ascii="Calibri" w:hAnsi="Calibri" w:cs="Calibri"/>
          <w:bCs/>
        </w:rPr>
        <w:t>„</w:t>
      </w:r>
      <w:r w:rsidR="00AF76CF">
        <w:rPr>
          <w:rFonts w:ascii="Calibri" w:hAnsi="Calibri" w:cs="Calibri"/>
          <w:bCs/>
        </w:rPr>
        <w:t>S</w:t>
      </w:r>
      <w:r>
        <w:rPr>
          <w:rFonts w:ascii="Calibri" w:hAnsi="Calibri" w:cs="Calibri"/>
          <w:bCs/>
        </w:rPr>
        <w:t>klo</w:t>
      </w:r>
      <w:r w:rsidR="005203B7">
        <w:rPr>
          <w:rFonts w:ascii="Calibri" w:hAnsi="Calibri" w:cs="Calibri"/>
          <w:bCs/>
        </w:rPr>
        <w:t xml:space="preserve"> </w:t>
      </w:r>
      <w:r w:rsidRPr="00735A10">
        <w:rPr>
          <w:rFonts w:ascii="Calibri" w:hAnsi="Calibri" w:cs="Calibri"/>
          <w:bCs/>
        </w:rPr>
        <w:t xml:space="preserve">se </w:t>
      </w:r>
      <w:r w:rsidR="005203B7">
        <w:rPr>
          <w:rFonts w:ascii="Calibri" w:hAnsi="Calibri" w:cs="Calibri"/>
          <w:bCs/>
        </w:rPr>
        <w:t>od té doby</w:t>
      </w:r>
      <w:r w:rsidRPr="00735A10">
        <w:rPr>
          <w:rFonts w:ascii="Calibri" w:hAnsi="Calibri" w:cs="Calibri"/>
          <w:bCs/>
        </w:rPr>
        <w:t xml:space="preserve"> zdražil</w:t>
      </w:r>
      <w:r w:rsidR="00AF76CF">
        <w:rPr>
          <w:rFonts w:ascii="Calibri" w:hAnsi="Calibri" w:cs="Calibri"/>
          <w:bCs/>
        </w:rPr>
        <w:t>o</w:t>
      </w:r>
      <w:r w:rsidRPr="00735A10">
        <w:rPr>
          <w:rFonts w:ascii="Calibri" w:hAnsi="Calibri" w:cs="Calibri"/>
          <w:bCs/>
        </w:rPr>
        <w:t xml:space="preserve"> </w:t>
      </w:r>
      <w:r w:rsidR="005203B7">
        <w:rPr>
          <w:rFonts w:ascii="Calibri" w:hAnsi="Calibri" w:cs="Calibri"/>
          <w:bCs/>
        </w:rPr>
        <w:t>cca o 45 %</w:t>
      </w:r>
      <w:r w:rsidR="00241B9A">
        <w:rPr>
          <w:rFonts w:ascii="Calibri" w:hAnsi="Calibri" w:cs="Calibri"/>
          <w:bCs/>
        </w:rPr>
        <w:t xml:space="preserve">. </w:t>
      </w:r>
      <w:r w:rsidR="00AF76CF">
        <w:rPr>
          <w:rFonts w:ascii="Calibri" w:hAnsi="Calibri" w:cs="Calibri"/>
          <w:bCs/>
        </w:rPr>
        <w:t xml:space="preserve"> A to pro nás na vstupu. Pokud se jedná o dodávk</w:t>
      </w:r>
      <w:r w:rsidR="005A1305">
        <w:rPr>
          <w:rFonts w:ascii="Calibri" w:hAnsi="Calibri" w:cs="Calibri"/>
          <w:bCs/>
        </w:rPr>
        <w:t>y</w:t>
      </w:r>
      <w:r w:rsidR="00AF76CF">
        <w:rPr>
          <w:rFonts w:ascii="Calibri" w:hAnsi="Calibri" w:cs="Calibri"/>
          <w:bCs/>
        </w:rPr>
        <w:t xml:space="preserve"> pro stavebnictví jsou zde nárůsty ještě vyšší</w:t>
      </w:r>
      <w:r w:rsidR="00071EEA">
        <w:rPr>
          <w:rFonts w:ascii="Calibri" w:hAnsi="Calibri" w:cs="Calibri"/>
          <w:bCs/>
        </w:rPr>
        <w:t>,</w:t>
      </w:r>
      <w:r>
        <w:rPr>
          <w:rFonts w:ascii="Calibri" w:hAnsi="Calibri" w:cs="Calibri"/>
          <w:bCs/>
        </w:rPr>
        <w:t xml:space="preserve">“ říká </w:t>
      </w:r>
      <w:r w:rsidRPr="00735A10">
        <w:rPr>
          <w:rFonts w:ascii="Calibri" w:hAnsi="Calibri" w:cs="Calibri"/>
          <w:bCs/>
        </w:rPr>
        <w:t xml:space="preserve">Lucie Hronová, ředitelka </w:t>
      </w:r>
      <w:r w:rsidR="00071EEA">
        <w:rPr>
          <w:rFonts w:ascii="Calibri" w:hAnsi="Calibri" w:cs="Calibri"/>
          <w:bCs/>
        </w:rPr>
        <w:t xml:space="preserve">české </w:t>
      </w:r>
      <w:r w:rsidR="00241B9A">
        <w:rPr>
          <w:rFonts w:ascii="Calibri" w:hAnsi="Calibri" w:cs="Calibri"/>
          <w:bCs/>
        </w:rPr>
        <w:t>společnost</w:t>
      </w:r>
      <w:r w:rsidR="009778FF">
        <w:rPr>
          <w:rFonts w:ascii="Calibri" w:hAnsi="Calibri" w:cs="Calibri"/>
          <w:bCs/>
        </w:rPr>
        <w:t>i</w:t>
      </w:r>
      <w:r w:rsidR="00241B9A">
        <w:rPr>
          <w:rFonts w:ascii="Calibri" w:hAnsi="Calibri" w:cs="Calibri"/>
          <w:bCs/>
        </w:rPr>
        <w:t xml:space="preserve"> </w:t>
      </w:r>
      <w:proofErr w:type="spellStart"/>
      <w:r w:rsidR="00241B9A">
        <w:rPr>
          <w:rFonts w:ascii="Calibri" w:hAnsi="Calibri" w:cs="Calibri"/>
          <w:bCs/>
        </w:rPr>
        <w:t>Amirro</w:t>
      </w:r>
      <w:proofErr w:type="spellEnd"/>
      <w:r w:rsidR="00071EEA">
        <w:rPr>
          <w:rFonts w:ascii="Calibri" w:hAnsi="Calibri" w:cs="Calibri"/>
          <w:bCs/>
        </w:rPr>
        <w:t xml:space="preserve"> specializující se na výrobky se skla</w:t>
      </w:r>
      <w:r w:rsidR="00241B9A">
        <w:rPr>
          <w:rFonts w:ascii="Calibri" w:hAnsi="Calibri" w:cs="Calibri"/>
          <w:bCs/>
        </w:rPr>
        <w:t xml:space="preserve"> nebo zrcadla.</w:t>
      </w:r>
    </w:p>
    <w:p w14:paraId="3C5B96C6" w14:textId="058E4081" w:rsidR="00856771" w:rsidRDefault="00856771" w:rsidP="00107F76">
      <w:pPr>
        <w:rPr>
          <w:rFonts w:ascii="Calibri" w:hAnsi="Calibri" w:cs="Calibri"/>
          <w:bCs/>
        </w:rPr>
      </w:pPr>
    </w:p>
    <w:p w14:paraId="37843573" w14:textId="66034BD3" w:rsidR="00735A10" w:rsidRPr="00735A10" w:rsidRDefault="00735A10" w:rsidP="00107F76">
      <w:pPr>
        <w:rPr>
          <w:rFonts w:ascii="Calibri" w:hAnsi="Calibri" w:cs="Calibri"/>
          <w:bCs/>
        </w:rPr>
      </w:pPr>
    </w:p>
    <w:sectPr w:rsidR="00735A10" w:rsidRPr="00735A1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CE77E2"/>
    <w:multiLevelType w:val="multilevel"/>
    <w:tmpl w:val="B6E60B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41A7E51"/>
    <w:multiLevelType w:val="multilevel"/>
    <w:tmpl w:val="87069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B473EA"/>
    <w:multiLevelType w:val="multilevel"/>
    <w:tmpl w:val="6DA6D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1381407"/>
    <w:multiLevelType w:val="multilevel"/>
    <w:tmpl w:val="F5E4AC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8C865E1"/>
    <w:multiLevelType w:val="multilevel"/>
    <w:tmpl w:val="8D72B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23123488">
    <w:abstractNumId w:val="1"/>
  </w:num>
  <w:num w:numId="2" w16cid:durableId="1058943882">
    <w:abstractNumId w:val="4"/>
  </w:num>
  <w:num w:numId="3" w16cid:durableId="657458397">
    <w:abstractNumId w:val="0"/>
  </w:num>
  <w:num w:numId="4" w16cid:durableId="276183350">
    <w:abstractNumId w:val="3"/>
  </w:num>
  <w:num w:numId="5" w16cid:durableId="913621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3786"/>
    <w:rsid w:val="00016A34"/>
    <w:rsid w:val="00036BCF"/>
    <w:rsid w:val="00053786"/>
    <w:rsid w:val="000700DE"/>
    <w:rsid w:val="00071EEA"/>
    <w:rsid w:val="00091C60"/>
    <w:rsid w:val="000921CB"/>
    <w:rsid w:val="000A6D38"/>
    <w:rsid w:val="000E0D0C"/>
    <w:rsid w:val="001050C4"/>
    <w:rsid w:val="00107F76"/>
    <w:rsid w:val="00127E15"/>
    <w:rsid w:val="001436B7"/>
    <w:rsid w:val="001619E4"/>
    <w:rsid w:val="001640CF"/>
    <w:rsid w:val="001B47BB"/>
    <w:rsid w:val="001B747F"/>
    <w:rsid w:val="001B74DC"/>
    <w:rsid w:val="001C27B4"/>
    <w:rsid w:val="00241B9A"/>
    <w:rsid w:val="00283BF2"/>
    <w:rsid w:val="002924AE"/>
    <w:rsid w:val="002A4625"/>
    <w:rsid w:val="002D0414"/>
    <w:rsid w:val="00301492"/>
    <w:rsid w:val="00315474"/>
    <w:rsid w:val="00341F3D"/>
    <w:rsid w:val="003A1066"/>
    <w:rsid w:val="003D41F5"/>
    <w:rsid w:val="003D5986"/>
    <w:rsid w:val="003E72C0"/>
    <w:rsid w:val="00446E28"/>
    <w:rsid w:val="005203B7"/>
    <w:rsid w:val="00547C80"/>
    <w:rsid w:val="0056157B"/>
    <w:rsid w:val="005A1305"/>
    <w:rsid w:val="005A6678"/>
    <w:rsid w:val="005E5A40"/>
    <w:rsid w:val="005F0441"/>
    <w:rsid w:val="006272CC"/>
    <w:rsid w:val="0065586C"/>
    <w:rsid w:val="006C67AE"/>
    <w:rsid w:val="006E6086"/>
    <w:rsid w:val="0070715F"/>
    <w:rsid w:val="00707CF1"/>
    <w:rsid w:val="00716295"/>
    <w:rsid w:val="00735A10"/>
    <w:rsid w:val="00746B83"/>
    <w:rsid w:val="007860FC"/>
    <w:rsid w:val="00793219"/>
    <w:rsid w:val="007957EC"/>
    <w:rsid w:val="007B33D5"/>
    <w:rsid w:val="007D6E0F"/>
    <w:rsid w:val="007E64A1"/>
    <w:rsid w:val="00805722"/>
    <w:rsid w:val="00820261"/>
    <w:rsid w:val="00826D3A"/>
    <w:rsid w:val="008401A6"/>
    <w:rsid w:val="008467AC"/>
    <w:rsid w:val="00856771"/>
    <w:rsid w:val="00872AE7"/>
    <w:rsid w:val="008744A0"/>
    <w:rsid w:val="00884836"/>
    <w:rsid w:val="008C7FF9"/>
    <w:rsid w:val="008D221A"/>
    <w:rsid w:val="008D6055"/>
    <w:rsid w:val="00900568"/>
    <w:rsid w:val="00966B9C"/>
    <w:rsid w:val="009778FF"/>
    <w:rsid w:val="00982316"/>
    <w:rsid w:val="00986D13"/>
    <w:rsid w:val="009A6097"/>
    <w:rsid w:val="009F062D"/>
    <w:rsid w:val="00A353FF"/>
    <w:rsid w:val="00A3756B"/>
    <w:rsid w:val="00A774BE"/>
    <w:rsid w:val="00AA4FDD"/>
    <w:rsid w:val="00AF76CF"/>
    <w:rsid w:val="00B227ED"/>
    <w:rsid w:val="00B767E0"/>
    <w:rsid w:val="00B87E7B"/>
    <w:rsid w:val="00BA209B"/>
    <w:rsid w:val="00BC68A0"/>
    <w:rsid w:val="00BD2E31"/>
    <w:rsid w:val="00BF2C21"/>
    <w:rsid w:val="00C313BB"/>
    <w:rsid w:val="00C342D5"/>
    <w:rsid w:val="00C67333"/>
    <w:rsid w:val="00C74F49"/>
    <w:rsid w:val="00C857A7"/>
    <w:rsid w:val="00C87FCB"/>
    <w:rsid w:val="00C96C9B"/>
    <w:rsid w:val="00C96F2F"/>
    <w:rsid w:val="00CB677A"/>
    <w:rsid w:val="00CF2953"/>
    <w:rsid w:val="00D05B58"/>
    <w:rsid w:val="00D168D8"/>
    <w:rsid w:val="00D216AC"/>
    <w:rsid w:val="00D41895"/>
    <w:rsid w:val="00DB41B3"/>
    <w:rsid w:val="00DC621F"/>
    <w:rsid w:val="00DF5BD5"/>
    <w:rsid w:val="00E047E4"/>
    <w:rsid w:val="00E16544"/>
    <w:rsid w:val="00E17ADD"/>
    <w:rsid w:val="00E3442E"/>
    <w:rsid w:val="00E3556A"/>
    <w:rsid w:val="00E61473"/>
    <w:rsid w:val="00E8767B"/>
    <w:rsid w:val="00EB516C"/>
    <w:rsid w:val="00ED66D6"/>
    <w:rsid w:val="00EE72B3"/>
    <w:rsid w:val="00EF71BD"/>
    <w:rsid w:val="00F34C0F"/>
    <w:rsid w:val="00F557FB"/>
    <w:rsid w:val="00F819EA"/>
    <w:rsid w:val="00F841A2"/>
    <w:rsid w:val="00FB7FB5"/>
    <w:rsid w:val="00FC6C2F"/>
    <w:rsid w:val="00FD2BB9"/>
    <w:rsid w:val="00FF11F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2B55E"/>
  <w15:chartTrackingRefBased/>
  <w15:docId w15:val="{90824991-85DE-49F1-AEDD-849BA7803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2">
    <w:name w:val="heading 2"/>
    <w:basedOn w:val="Normln"/>
    <w:next w:val="Normln"/>
    <w:link w:val="Nadpis2Char"/>
    <w:uiPriority w:val="9"/>
    <w:semiHidden/>
    <w:unhideWhenUsed/>
    <w:qFormat/>
    <w:rsid w:val="00E047E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Nadpis3">
    <w:name w:val="heading 3"/>
    <w:basedOn w:val="Normln"/>
    <w:link w:val="Nadpis3Char"/>
    <w:uiPriority w:val="9"/>
    <w:qFormat/>
    <w:rsid w:val="00E047E4"/>
    <w:pPr>
      <w:spacing w:before="100" w:beforeAutospacing="1" w:after="100" w:afterAutospacing="1" w:line="240" w:lineRule="auto"/>
      <w:outlineLvl w:val="2"/>
    </w:pPr>
    <w:rPr>
      <w:rFonts w:ascii="Times New Roman" w:eastAsia="Times New Roman" w:hAnsi="Times New Roman" w:cs="Times New Roman"/>
      <w:b/>
      <w:bCs/>
      <w:sz w:val="27"/>
      <w:szCs w:val="27"/>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Siln">
    <w:name w:val="Strong"/>
    <w:basedOn w:val="Standardnpsmoodstavce"/>
    <w:uiPriority w:val="22"/>
    <w:qFormat/>
    <w:rsid w:val="00E047E4"/>
    <w:rPr>
      <w:b/>
      <w:bCs/>
    </w:rPr>
  </w:style>
  <w:style w:type="character" w:customStyle="1" w:styleId="Nadpis3Char">
    <w:name w:val="Nadpis 3 Char"/>
    <w:basedOn w:val="Standardnpsmoodstavce"/>
    <w:link w:val="Nadpis3"/>
    <w:uiPriority w:val="9"/>
    <w:rsid w:val="00E047E4"/>
    <w:rPr>
      <w:rFonts w:ascii="Times New Roman" w:eastAsia="Times New Roman" w:hAnsi="Times New Roman" w:cs="Times New Roman"/>
      <w:b/>
      <w:bCs/>
      <w:sz w:val="27"/>
      <w:szCs w:val="27"/>
      <w:lang w:eastAsia="cs-CZ"/>
    </w:rPr>
  </w:style>
  <w:style w:type="paragraph" w:styleId="Normlnweb">
    <w:name w:val="Normal (Web)"/>
    <w:basedOn w:val="Normln"/>
    <w:uiPriority w:val="99"/>
    <w:semiHidden/>
    <w:unhideWhenUsed/>
    <w:rsid w:val="00E047E4"/>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Nadpis2Char">
    <w:name w:val="Nadpis 2 Char"/>
    <w:basedOn w:val="Standardnpsmoodstavce"/>
    <w:link w:val="Nadpis2"/>
    <w:uiPriority w:val="9"/>
    <w:semiHidden/>
    <w:rsid w:val="00E047E4"/>
    <w:rPr>
      <w:rFonts w:asciiTheme="majorHAnsi" w:eastAsiaTheme="majorEastAsia" w:hAnsiTheme="majorHAnsi" w:cstheme="majorBidi"/>
      <w:color w:val="2E74B5" w:themeColor="accent1" w:themeShade="BF"/>
      <w:sz w:val="26"/>
      <w:szCs w:val="26"/>
    </w:rPr>
  </w:style>
  <w:style w:type="character" w:styleId="Hypertextovodkaz">
    <w:name w:val="Hyperlink"/>
    <w:basedOn w:val="Standardnpsmoodstavce"/>
    <w:uiPriority w:val="99"/>
    <w:unhideWhenUsed/>
    <w:rsid w:val="00E047E4"/>
    <w:rPr>
      <w:color w:val="0000FF"/>
      <w:u w:val="single"/>
    </w:rPr>
  </w:style>
  <w:style w:type="paragraph" w:customStyle="1" w:styleId="paragraph2">
    <w:name w:val="paragraph2"/>
    <w:basedOn w:val="Normln"/>
    <w:rsid w:val="00E047E4"/>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Nevyeenzmnka1">
    <w:name w:val="Nevyřešená zmínka1"/>
    <w:basedOn w:val="Standardnpsmoodstavce"/>
    <w:uiPriority w:val="99"/>
    <w:semiHidden/>
    <w:unhideWhenUsed/>
    <w:rsid w:val="007B33D5"/>
    <w:rPr>
      <w:color w:val="605E5C"/>
      <w:shd w:val="clear" w:color="auto" w:fill="E1DFDD"/>
    </w:rPr>
  </w:style>
  <w:style w:type="paragraph" w:styleId="Textbubliny">
    <w:name w:val="Balloon Text"/>
    <w:basedOn w:val="Normln"/>
    <w:link w:val="TextbublinyChar"/>
    <w:uiPriority w:val="99"/>
    <w:semiHidden/>
    <w:unhideWhenUsed/>
    <w:rsid w:val="007D6E0F"/>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7D6E0F"/>
    <w:rPr>
      <w:rFonts w:ascii="Segoe UI" w:hAnsi="Segoe UI" w:cs="Segoe UI"/>
      <w:sz w:val="18"/>
      <w:szCs w:val="18"/>
    </w:rPr>
  </w:style>
  <w:style w:type="character" w:styleId="Odkaznakoment">
    <w:name w:val="annotation reference"/>
    <w:basedOn w:val="Standardnpsmoodstavce"/>
    <w:uiPriority w:val="99"/>
    <w:semiHidden/>
    <w:unhideWhenUsed/>
    <w:rsid w:val="0056157B"/>
    <w:rPr>
      <w:sz w:val="16"/>
      <w:szCs w:val="16"/>
    </w:rPr>
  </w:style>
  <w:style w:type="paragraph" w:styleId="Textkomente">
    <w:name w:val="annotation text"/>
    <w:basedOn w:val="Normln"/>
    <w:link w:val="TextkomenteChar"/>
    <w:uiPriority w:val="99"/>
    <w:semiHidden/>
    <w:unhideWhenUsed/>
    <w:rsid w:val="0056157B"/>
    <w:pPr>
      <w:spacing w:line="240" w:lineRule="auto"/>
    </w:pPr>
    <w:rPr>
      <w:sz w:val="20"/>
      <w:szCs w:val="20"/>
    </w:rPr>
  </w:style>
  <w:style w:type="character" w:customStyle="1" w:styleId="TextkomenteChar">
    <w:name w:val="Text komentáře Char"/>
    <w:basedOn w:val="Standardnpsmoodstavce"/>
    <w:link w:val="Textkomente"/>
    <w:uiPriority w:val="99"/>
    <w:semiHidden/>
    <w:rsid w:val="0056157B"/>
    <w:rPr>
      <w:sz w:val="20"/>
      <w:szCs w:val="20"/>
    </w:rPr>
  </w:style>
  <w:style w:type="paragraph" w:styleId="Pedmtkomente">
    <w:name w:val="annotation subject"/>
    <w:basedOn w:val="Textkomente"/>
    <w:next w:val="Textkomente"/>
    <w:link w:val="PedmtkomenteChar"/>
    <w:uiPriority w:val="99"/>
    <w:semiHidden/>
    <w:unhideWhenUsed/>
    <w:rsid w:val="0056157B"/>
    <w:rPr>
      <w:b/>
      <w:bCs/>
    </w:rPr>
  </w:style>
  <w:style w:type="character" w:customStyle="1" w:styleId="PedmtkomenteChar">
    <w:name w:val="Předmět komentáře Char"/>
    <w:basedOn w:val="TextkomenteChar"/>
    <w:link w:val="Pedmtkomente"/>
    <w:uiPriority w:val="99"/>
    <w:semiHidden/>
    <w:rsid w:val="0056157B"/>
    <w:rPr>
      <w:b/>
      <w:bCs/>
      <w:sz w:val="20"/>
      <w:szCs w:val="20"/>
    </w:rPr>
  </w:style>
  <w:style w:type="character" w:styleId="Nevyeenzmnka">
    <w:name w:val="Unresolved Mention"/>
    <w:basedOn w:val="Standardnpsmoodstavce"/>
    <w:uiPriority w:val="99"/>
    <w:semiHidden/>
    <w:unhideWhenUsed/>
    <w:rsid w:val="001B47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718107">
      <w:bodyDiv w:val="1"/>
      <w:marLeft w:val="0"/>
      <w:marRight w:val="0"/>
      <w:marTop w:val="0"/>
      <w:marBottom w:val="0"/>
      <w:divBdr>
        <w:top w:val="none" w:sz="0" w:space="0" w:color="auto"/>
        <w:left w:val="none" w:sz="0" w:space="0" w:color="auto"/>
        <w:bottom w:val="none" w:sz="0" w:space="0" w:color="auto"/>
        <w:right w:val="none" w:sz="0" w:space="0" w:color="auto"/>
      </w:divBdr>
    </w:div>
    <w:div w:id="315033170">
      <w:bodyDiv w:val="1"/>
      <w:marLeft w:val="0"/>
      <w:marRight w:val="0"/>
      <w:marTop w:val="0"/>
      <w:marBottom w:val="0"/>
      <w:divBdr>
        <w:top w:val="none" w:sz="0" w:space="0" w:color="auto"/>
        <w:left w:val="none" w:sz="0" w:space="0" w:color="auto"/>
        <w:bottom w:val="none" w:sz="0" w:space="0" w:color="auto"/>
        <w:right w:val="none" w:sz="0" w:space="0" w:color="auto"/>
      </w:divBdr>
    </w:div>
    <w:div w:id="654187035">
      <w:bodyDiv w:val="1"/>
      <w:marLeft w:val="0"/>
      <w:marRight w:val="0"/>
      <w:marTop w:val="0"/>
      <w:marBottom w:val="0"/>
      <w:divBdr>
        <w:top w:val="none" w:sz="0" w:space="0" w:color="auto"/>
        <w:left w:val="none" w:sz="0" w:space="0" w:color="auto"/>
        <w:bottom w:val="none" w:sz="0" w:space="0" w:color="auto"/>
        <w:right w:val="none" w:sz="0" w:space="0" w:color="auto"/>
      </w:divBdr>
      <w:divsChild>
        <w:div w:id="641273193">
          <w:blockQuote w:val="1"/>
          <w:marLeft w:val="0"/>
          <w:marRight w:val="0"/>
          <w:marTop w:val="420"/>
          <w:marBottom w:val="420"/>
          <w:divBdr>
            <w:top w:val="none" w:sz="0" w:space="0" w:color="auto"/>
            <w:left w:val="none" w:sz="0" w:space="0" w:color="auto"/>
            <w:bottom w:val="none" w:sz="0" w:space="0" w:color="auto"/>
            <w:right w:val="none" w:sz="0" w:space="0" w:color="auto"/>
          </w:divBdr>
        </w:div>
        <w:div w:id="2067991490">
          <w:blockQuote w:val="1"/>
          <w:marLeft w:val="0"/>
          <w:marRight w:val="0"/>
          <w:marTop w:val="420"/>
          <w:marBottom w:val="420"/>
          <w:divBdr>
            <w:top w:val="none" w:sz="0" w:space="0" w:color="auto"/>
            <w:left w:val="none" w:sz="0" w:space="0" w:color="auto"/>
            <w:bottom w:val="none" w:sz="0" w:space="0" w:color="auto"/>
            <w:right w:val="none" w:sz="0" w:space="0" w:color="auto"/>
          </w:divBdr>
        </w:div>
      </w:divsChild>
    </w:div>
    <w:div w:id="848446061">
      <w:bodyDiv w:val="1"/>
      <w:marLeft w:val="0"/>
      <w:marRight w:val="0"/>
      <w:marTop w:val="0"/>
      <w:marBottom w:val="0"/>
      <w:divBdr>
        <w:top w:val="none" w:sz="0" w:space="0" w:color="auto"/>
        <w:left w:val="none" w:sz="0" w:space="0" w:color="auto"/>
        <w:bottom w:val="none" w:sz="0" w:space="0" w:color="auto"/>
        <w:right w:val="none" w:sz="0" w:space="0" w:color="auto"/>
      </w:divBdr>
      <w:divsChild>
        <w:div w:id="1953241028">
          <w:marLeft w:val="0"/>
          <w:marRight w:val="0"/>
          <w:marTop w:val="0"/>
          <w:marBottom w:val="0"/>
          <w:divBdr>
            <w:top w:val="none" w:sz="0" w:space="0" w:color="auto"/>
            <w:left w:val="none" w:sz="0" w:space="0" w:color="auto"/>
            <w:bottom w:val="none" w:sz="0" w:space="0" w:color="auto"/>
            <w:right w:val="none" w:sz="0" w:space="0" w:color="auto"/>
          </w:divBdr>
        </w:div>
        <w:div w:id="556743715">
          <w:marLeft w:val="0"/>
          <w:marRight w:val="0"/>
          <w:marTop w:val="0"/>
          <w:marBottom w:val="0"/>
          <w:divBdr>
            <w:top w:val="none" w:sz="0" w:space="0" w:color="auto"/>
            <w:left w:val="none" w:sz="0" w:space="0" w:color="auto"/>
            <w:bottom w:val="none" w:sz="0" w:space="0" w:color="auto"/>
            <w:right w:val="none" w:sz="0" w:space="0" w:color="auto"/>
          </w:divBdr>
          <w:divsChild>
            <w:div w:id="1546408484">
              <w:marLeft w:val="0"/>
              <w:marRight w:val="0"/>
              <w:marTop w:val="0"/>
              <w:marBottom w:val="0"/>
              <w:divBdr>
                <w:top w:val="none" w:sz="0" w:space="0" w:color="auto"/>
                <w:left w:val="none" w:sz="0" w:space="0" w:color="auto"/>
                <w:bottom w:val="none" w:sz="0" w:space="0" w:color="auto"/>
                <w:right w:val="none" w:sz="0" w:space="0" w:color="auto"/>
              </w:divBdr>
            </w:div>
            <w:div w:id="770130556">
              <w:marLeft w:val="0"/>
              <w:marRight w:val="0"/>
              <w:marTop w:val="0"/>
              <w:marBottom w:val="0"/>
              <w:divBdr>
                <w:top w:val="none" w:sz="0" w:space="0" w:color="auto"/>
                <w:left w:val="none" w:sz="0" w:space="0" w:color="auto"/>
                <w:bottom w:val="none" w:sz="0" w:space="0" w:color="auto"/>
                <w:right w:val="none" w:sz="0" w:space="0" w:color="auto"/>
              </w:divBdr>
              <w:divsChild>
                <w:div w:id="1292444524">
                  <w:marLeft w:val="0"/>
                  <w:marRight w:val="0"/>
                  <w:marTop w:val="0"/>
                  <w:marBottom w:val="0"/>
                  <w:divBdr>
                    <w:top w:val="none" w:sz="0" w:space="0" w:color="auto"/>
                    <w:left w:val="none" w:sz="0" w:space="0" w:color="auto"/>
                    <w:bottom w:val="none" w:sz="0" w:space="0" w:color="auto"/>
                    <w:right w:val="none" w:sz="0" w:space="0" w:color="auto"/>
                  </w:divBdr>
                </w:div>
                <w:div w:id="1710959033">
                  <w:marLeft w:val="0"/>
                  <w:marRight w:val="0"/>
                  <w:marTop w:val="0"/>
                  <w:marBottom w:val="0"/>
                  <w:divBdr>
                    <w:top w:val="none" w:sz="0" w:space="0" w:color="auto"/>
                    <w:left w:val="none" w:sz="0" w:space="0" w:color="auto"/>
                    <w:bottom w:val="none" w:sz="0" w:space="0" w:color="auto"/>
                    <w:right w:val="none" w:sz="0" w:space="0" w:color="auto"/>
                  </w:divBdr>
                </w:div>
                <w:div w:id="586576001">
                  <w:marLeft w:val="0"/>
                  <w:marRight w:val="0"/>
                  <w:marTop w:val="0"/>
                  <w:marBottom w:val="0"/>
                  <w:divBdr>
                    <w:top w:val="none" w:sz="0" w:space="0" w:color="auto"/>
                    <w:left w:val="none" w:sz="0" w:space="0" w:color="auto"/>
                    <w:bottom w:val="none" w:sz="0" w:space="0" w:color="auto"/>
                    <w:right w:val="none" w:sz="0" w:space="0" w:color="auto"/>
                  </w:divBdr>
                </w:div>
                <w:div w:id="529337899">
                  <w:marLeft w:val="0"/>
                  <w:marRight w:val="0"/>
                  <w:marTop w:val="0"/>
                  <w:marBottom w:val="0"/>
                  <w:divBdr>
                    <w:top w:val="none" w:sz="0" w:space="0" w:color="auto"/>
                    <w:left w:val="none" w:sz="0" w:space="0" w:color="auto"/>
                    <w:bottom w:val="none" w:sz="0" w:space="0" w:color="auto"/>
                    <w:right w:val="none" w:sz="0" w:space="0" w:color="auto"/>
                  </w:divBdr>
                </w:div>
                <w:div w:id="556355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1607050">
      <w:bodyDiv w:val="1"/>
      <w:marLeft w:val="0"/>
      <w:marRight w:val="0"/>
      <w:marTop w:val="0"/>
      <w:marBottom w:val="0"/>
      <w:divBdr>
        <w:top w:val="none" w:sz="0" w:space="0" w:color="auto"/>
        <w:left w:val="none" w:sz="0" w:space="0" w:color="auto"/>
        <w:bottom w:val="none" w:sz="0" w:space="0" w:color="auto"/>
        <w:right w:val="none" w:sz="0" w:space="0" w:color="auto"/>
      </w:divBdr>
    </w:div>
    <w:div w:id="872115882">
      <w:bodyDiv w:val="1"/>
      <w:marLeft w:val="0"/>
      <w:marRight w:val="0"/>
      <w:marTop w:val="0"/>
      <w:marBottom w:val="0"/>
      <w:divBdr>
        <w:top w:val="none" w:sz="0" w:space="0" w:color="auto"/>
        <w:left w:val="none" w:sz="0" w:space="0" w:color="auto"/>
        <w:bottom w:val="none" w:sz="0" w:space="0" w:color="auto"/>
        <w:right w:val="none" w:sz="0" w:space="0" w:color="auto"/>
      </w:divBdr>
    </w:div>
    <w:div w:id="1236549158">
      <w:bodyDiv w:val="1"/>
      <w:marLeft w:val="0"/>
      <w:marRight w:val="0"/>
      <w:marTop w:val="0"/>
      <w:marBottom w:val="0"/>
      <w:divBdr>
        <w:top w:val="none" w:sz="0" w:space="0" w:color="auto"/>
        <w:left w:val="none" w:sz="0" w:space="0" w:color="auto"/>
        <w:bottom w:val="none" w:sz="0" w:space="0" w:color="auto"/>
        <w:right w:val="none" w:sz="0" w:space="0" w:color="auto"/>
      </w:divBdr>
    </w:div>
    <w:div w:id="1492676384">
      <w:bodyDiv w:val="1"/>
      <w:marLeft w:val="0"/>
      <w:marRight w:val="0"/>
      <w:marTop w:val="0"/>
      <w:marBottom w:val="0"/>
      <w:divBdr>
        <w:top w:val="none" w:sz="0" w:space="0" w:color="auto"/>
        <w:left w:val="none" w:sz="0" w:space="0" w:color="auto"/>
        <w:bottom w:val="none" w:sz="0" w:space="0" w:color="auto"/>
        <w:right w:val="none" w:sz="0" w:space="0" w:color="auto"/>
      </w:divBdr>
      <w:divsChild>
        <w:div w:id="428938118">
          <w:marLeft w:val="0"/>
          <w:marRight w:val="0"/>
          <w:marTop w:val="0"/>
          <w:marBottom w:val="0"/>
          <w:divBdr>
            <w:top w:val="none" w:sz="0" w:space="0" w:color="auto"/>
            <w:left w:val="none" w:sz="0" w:space="0" w:color="auto"/>
            <w:bottom w:val="none" w:sz="0" w:space="0" w:color="auto"/>
            <w:right w:val="none" w:sz="0" w:space="0" w:color="auto"/>
          </w:divBdr>
        </w:div>
        <w:div w:id="217514683">
          <w:marLeft w:val="0"/>
          <w:marRight w:val="0"/>
          <w:marTop w:val="0"/>
          <w:marBottom w:val="0"/>
          <w:divBdr>
            <w:top w:val="none" w:sz="0" w:space="0" w:color="auto"/>
            <w:left w:val="none" w:sz="0" w:space="0" w:color="auto"/>
            <w:bottom w:val="none" w:sz="0" w:space="0" w:color="auto"/>
            <w:right w:val="none" w:sz="0" w:space="0" w:color="auto"/>
          </w:divBdr>
          <w:divsChild>
            <w:div w:id="297996509">
              <w:marLeft w:val="0"/>
              <w:marRight w:val="0"/>
              <w:marTop w:val="0"/>
              <w:marBottom w:val="0"/>
              <w:divBdr>
                <w:top w:val="none" w:sz="0" w:space="0" w:color="auto"/>
                <w:left w:val="none" w:sz="0" w:space="0" w:color="auto"/>
                <w:bottom w:val="none" w:sz="0" w:space="0" w:color="auto"/>
                <w:right w:val="none" w:sz="0" w:space="0" w:color="auto"/>
              </w:divBdr>
            </w:div>
            <w:div w:id="1892383184">
              <w:marLeft w:val="0"/>
              <w:marRight w:val="0"/>
              <w:marTop w:val="0"/>
              <w:marBottom w:val="0"/>
              <w:divBdr>
                <w:top w:val="none" w:sz="0" w:space="0" w:color="auto"/>
                <w:left w:val="none" w:sz="0" w:space="0" w:color="auto"/>
                <w:bottom w:val="none" w:sz="0" w:space="0" w:color="auto"/>
                <w:right w:val="none" w:sz="0" w:space="0" w:color="auto"/>
              </w:divBdr>
            </w:div>
            <w:div w:id="1499692673">
              <w:marLeft w:val="0"/>
              <w:marRight w:val="0"/>
              <w:marTop w:val="0"/>
              <w:marBottom w:val="0"/>
              <w:divBdr>
                <w:top w:val="none" w:sz="0" w:space="0" w:color="auto"/>
                <w:left w:val="none" w:sz="0" w:space="0" w:color="auto"/>
                <w:bottom w:val="none" w:sz="0" w:space="0" w:color="auto"/>
                <w:right w:val="none" w:sz="0" w:space="0" w:color="auto"/>
              </w:divBdr>
            </w:div>
            <w:div w:id="927273198">
              <w:marLeft w:val="0"/>
              <w:marRight w:val="0"/>
              <w:marTop w:val="0"/>
              <w:marBottom w:val="0"/>
              <w:divBdr>
                <w:top w:val="none" w:sz="0" w:space="0" w:color="auto"/>
                <w:left w:val="none" w:sz="0" w:space="0" w:color="auto"/>
                <w:bottom w:val="none" w:sz="0" w:space="0" w:color="auto"/>
                <w:right w:val="none" w:sz="0" w:space="0" w:color="auto"/>
              </w:divBdr>
            </w:div>
            <w:div w:id="172230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848831">
      <w:bodyDiv w:val="1"/>
      <w:marLeft w:val="0"/>
      <w:marRight w:val="0"/>
      <w:marTop w:val="0"/>
      <w:marBottom w:val="0"/>
      <w:divBdr>
        <w:top w:val="none" w:sz="0" w:space="0" w:color="auto"/>
        <w:left w:val="none" w:sz="0" w:space="0" w:color="auto"/>
        <w:bottom w:val="none" w:sz="0" w:space="0" w:color="auto"/>
        <w:right w:val="none" w:sz="0" w:space="0" w:color="auto"/>
      </w:divBdr>
    </w:div>
    <w:div w:id="1675840299">
      <w:bodyDiv w:val="1"/>
      <w:marLeft w:val="0"/>
      <w:marRight w:val="0"/>
      <w:marTop w:val="0"/>
      <w:marBottom w:val="0"/>
      <w:divBdr>
        <w:top w:val="none" w:sz="0" w:space="0" w:color="auto"/>
        <w:left w:val="none" w:sz="0" w:space="0" w:color="auto"/>
        <w:bottom w:val="none" w:sz="0" w:space="0" w:color="auto"/>
        <w:right w:val="none" w:sz="0" w:space="0" w:color="auto"/>
      </w:divBdr>
      <w:divsChild>
        <w:div w:id="1966888175">
          <w:marLeft w:val="0"/>
          <w:marRight w:val="0"/>
          <w:marTop w:val="0"/>
          <w:marBottom w:val="0"/>
          <w:divBdr>
            <w:top w:val="none" w:sz="0" w:space="0" w:color="auto"/>
            <w:left w:val="none" w:sz="0" w:space="0" w:color="auto"/>
            <w:bottom w:val="none" w:sz="0" w:space="0" w:color="auto"/>
            <w:right w:val="none" w:sz="0" w:space="0" w:color="auto"/>
          </w:divBdr>
          <w:divsChild>
            <w:div w:id="287394070">
              <w:marLeft w:val="0"/>
              <w:marRight w:val="0"/>
              <w:marTop w:val="0"/>
              <w:marBottom w:val="0"/>
              <w:divBdr>
                <w:top w:val="none" w:sz="0" w:space="0" w:color="auto"/>
                <w:left w:val="none" w:sz="0" w:space="0" w:color="auto"/>
                <w:bottom w:val="none" w:sz="0" w:space="0" w:color="auto"/>
                <w:right w:val="none" w:sz="0" w:space="0" w:color="auto"/>
              </w:divBdr>
              <w:divsChild>
                <w:div w:id="1792817103">
                  <w:marLeft w:val="0"/>
                  <w:marRight w:val="0"/>
                  <w:marTop w:val="0"/>
                  <w:marBottom w:val="0"/>
                  <w:divBdr>
                    <w:top w:val="none" w:sz="0" w:space="0" w:color="auto"/>
                    <w:left w:val="none" w:sz="0" w:space="0" w:color="auto"/>
                    <w:bottom w:val="none" w:sz="0" w:space="0" w:color="auto"/>
                    <w:right w:val="none" w:sz="0" w:space="0" w:color="auto"/>
                  </w:divBdr>
                  <w:divsChild>
                    <w:div w:id="400836636">
                      <w:marLeft w:val="0"/>
                      <w:marRight w:val="0"/>
                      <w:marTop w:val="0"/>
                      <w:marBottom w:val="0"/>
                      <w:divBdr>
                        <w:top w:val="none" w:sz="0" w:space="0" w:color="auto"/>
                        <w:left w:val="none" w:sz="0" w:space="0" w:color="auto"/>
                        <w:bottom w:val="none" w:sz="0" w:space="0" w:color="auto"/>
                        <w:right w:val="none" w:sz="0" w:space="0" w:color="auto"/>
                      </w:divBdr>
                      <w:divsChild>
                        <w:div w:id="107622043">
                          <w:marLeft w:val="0"/>
                          <w:marRight w:val="0"/>
                          <w:marTop w:val="0"/>
                          <w:marBottom w:val="0"/>
                          <w:divBdr>
                            <w:top w:val="none" w:sz="0" w:space="0" w:color="auto"/>
                            <w:left w:val="none" w:sz="0" w:space="0" w:color="auto"/>
                            <w:bottom w:val="none" w:sz="0" w:space="0" w:color="auto"/>
                            <w:right w:val="none" w:sz="0" w:space="0" w:color="auto"/>
                          </w:divBdr>
                          <w:divsChild>
                            <w:div w:id="207301055">
                              <w:marLeft w:val="0"/>
                              <w:marRight w:val="0"/>
                              <w:marTop w:val="0"/>
                              <w:marBottom w:val="0"/>
                              <w:divBdr>
                                <w:top w:val="none" w:sz="0" w:space="0" w:color="auto"/>
                                <w:left w:val="none" w:sz="0" w:space="0" w:color="auto"/>
                                <w:bottom w:val="none" w:sz="0" w:space="0" w:color="auto"/>
                                <w:right w:val="none" w:sz="0" w:space="0" w:color="auto"/>
                              </w:divBdr>
                              <w:divsChild>
                                <w:div w:id="1537695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99505881">
      <w:bodyDiv w:val="1"/>
      <w:marLeft w:val="0"/>
      <w:marRight w:val="0"/>
      <w:marTop w:val="0"/>
      <w:marBottom w:val="0"/>
      <w:divBdr>
        <w:top w:val="none" w:sz="0" w:space="0" w:color="auto"/>
        <w:left w:val="none" w:sz="0" w:space="0" w:color="auto"/>
        <w:bottom w:val="none" w:sz="0" w:space="0" w:color="auto"/>
        <w:right w:val="none" w:sz="0" w:space="0" w:color="auto"/>
      </w:divBdr>
      <w:divsChild>
        <w:div w:id="537208882">
          <w:marLeft w:val="0"/>
          <w:marRight w:val="0"/>
          <w:marTop w:val="100"/>
          <w:marBottom w:val="100"/>
          <w:divBdr>
            <w:top w:val="none" w:sz="0" w:space="0" w:color="auto"/>
            <w:left w:val="none" w:sz="0" w:space="0" w:color="auto"/>
            <w:bottom w:val="none" w:sz="0" w:space="0" w:color="auto"/>
            <w:right w:val="none" w:sz="0" w:space="0" w:color="auto"/>
          </w:divBdr>
        </w:div>
      </w:divsChild>
    </w:div>
    <w:div w:id="1934774535">
      <w:bodyDiv w:val="1"/>
      <w:marLeft w:val="0"/>
      <w:marRight w:val="0"/>
      <w:marTop w:val="0"/>
      <w:marBottom w:val="0"/>
      <w:divBdr>
        <w:top w:val="none" w:sz="0" w:space="0" w:color="auto"/>
        <w:left w:val="none" w:sz="0" w:space="0" w:color="auto"/>
        <w:bottom w:val="none" w:sz="0" w:space="0" w:color="auto"/>
        <w:right w:val="none" w:sz="0" w:space="0" w:color="auto"/>
      </w:divBdr>
    </w:div>
    <w:div w:id="2000764503">
      <w:bodyDiv w:val="1"/>
      <w:marLeft w:val="0"/>
      <w:marRight w:val="0"/>
      <w:marTop w:val="0"/>
      <w:marBottom w:val="0"/>
      <w:divBdr>
        <w:top w:val="none" w:sz="0" w:space="0" w:color="auto"/>
        <w:left w:val="none" w:sz="0" w:space="0" w:color="auto"/>
        <w:bottom w:val="none" w:sz="0" w:space="0" w:color="auto"/>
        <w:right w:val="none" w:sz="0" w:space="0" w:color="auto"/>
      </w:divBdr>
    </w:div>
    <w:div w:id="2062095056">
      <w:bodyDiv w:val="1"/>
      <w:marLeft w:val="0"/>
      <w:marRight w:val="0"/>
      <w:marTop w:val="0"/>
      <w:marBottom w:val="0"/>
      <w:divBdr>
        <w:top w:val="none" w:sz="0" w:space="0" w:color="auto"/>
        <w:left w:val="none" w:sz="0" w:space="0" w:color="auto"/>
        <w:bottom w:val="none" w:sz="0" w:space="0" w:color="auto"/>
        <w:right w:val="none" w:sz="0" w:space="0" w:color="auto"/>
      </w:divBdr>
      <w:divsChild>
        <w:div w:id="667556240">
          <w:marLeft w:val="0"/>
          <w:marRight w:val="0"/>
          <w:marTop w:val="0"/>
          <w:marBottom w:val="0"/>
          <w:divBdr>
            <w:top w:val="none" w:sz="0" w:space="0" w:color="auto"/>
            <w:left w:val="none" w:sz="0" w:space="0" w:color="auto"/>
            <w:bottom w:val="none" w:sz="0" w:space="0" w:color="auto"/>
            <w:right w:val="none" w:sz="0" w:space="0" w:color="auto"/>
          </w:divBdr>
        </w:div>
        <w:div w:id="879437273">
          <w:marLeft w:val="0"/>
          <w:marRight w:val="0"/>
          <w:marTop w:val="0"/>
          <w:marBottom w:val="0"/>
          <w:divBdr>
            <w:top w:val="none" w:sz="0" w:space="0" w:color="auto"/>
            <w:left w:val="none" w:sz="0" w:space="0" w:color="auto"/>
            <w:bottom w:val="none" w:sz="0" w:space="0" w:color="auto"/>
            <w:right w:val="none" w:sz="0" w:space="0" w:color="auto"/>
          </w:divBdr>
        </w:div>
        <w:div w:id="4630382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403</Words>
  <Characters>2379</Characters>
  <Application>Microsoft Office Word</Application>
  <DocSecurity>0</DocSecurity>
  <Lines>19</Lines>
  <Paragraphs>5</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2777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Šárka Lachoutová</cp:lastModifiedBy>
  <cp:revision>2</cp:revision>
  <cp:lastPrinted>2022-08-29T13:20:00Z</cp:lastPrinted>
  <dcterms:created xsi:type="dcterms:W3CDTF">2022-09-06T20:00:00Z</dcterms:created>
  <dcterms:modified xsi:type="dcterms:W3CDTF">2022-09-06T20:00:00Z</dcterms:modified>
  <cp:category/>
</cp:coreProperties>
</file>