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3B547" w14:textId="5AB60F35" w:rsidR="00705D66" w:rsidRDefault="00000000">
      <w:pPr>
        <w:rPr>
          <w:rFonts w:ascii="Arial" w:eastAsia="Arial" w:hAnsi="Arial" w:cs="Arial"/>
          <w:b/>
          <w:sz w:val="32"/>
          <w:szCs w:val="32"/>
        </w:rPr>
      </w:pPr>
      <w:r>
        <w:rPr>
          <w:rFonts w:ascii="Arial" w:eastAsia="Arial" w:hAnsi="Arial" w:cs="Arial"/>
          <w:b/>
          <w:sz w:val="32"/>
          <w:szCs w:val="32"/>
        </w:rPr>
        <w:t>Brownfieldy jsou míst</w:t>
      </w:r>
      <w:r w:rsidR="00DF1832">
        <w:rPr>
          <w:rFonts w:ascii="Arial" w:eastAsia="Arial" w:hAnsi="Arial" w:cs="Arial"/>
          <w:b/>
          <w:sz w:val="32"/>
          <w:szCs w:val="32"/>
        </w:rPr>
        <w:t>a</w:t>
      </w:r>
      <w:r>
        <w:rPr>
          <w:rFonts w:ascii="Arial" w:eastAsia="Arial" w:hAnsi="Arial" w:cs="Arial"/>
          <w:b/>
          <w:sz w:val="32"/>
          <w:szCs w:val="32"/>
        </w:rPr>
        <w:t>, kterým výstavba bytů může dát smysl. Nově jsou využívány na Kladně</w:t>
      </w:r>
    </w:p>
    <w:p w14:paraId="753E4A35" w14:textId="77777777" w:rsidR="00705D66" w:rsidRDefault="00705D66">
      <w:pPr>
        <w:rPr>
          <w:rFonts w:ascii="Arial" w:eastAsia="Arial" w:hAnsi="Arial" w:cs="Arial"/>
          <w:sz w:val="32"/>
          <w:szCs w:val="32"/>
        </w:rPr>
      </w:pPr>
    </w:p>
    <w:p w14:paraId="71B1BA81" w14:textId="74C22C6E" w:rsidR="00705D66" w:rsidRDefault="00000000">
      <w:pPr>
        <w:pBdr>
          <w:top w:val="nil"/>
          <w:left w:val="nil"/>
          <w:bottom w:val="nil"/>
          <w:right w:val="nil"/>
          <w:between w:val="nil"/>
        </w:pBdr>
        <w:shd w:val="clear" w:color="auto" w:fill="FFFFFF"/>
        <w:spacing w:before="280" w:after="280" w:line="360" w:lineRule="auto"/>
        <w:rPr>
          <w:rFonts w:ascii="Arial" w:eastAsia="Arial" w:hAnsi="Arial" w:cs="Arial"/>
          <w:b/>
          <w:color w:val="000000"/>
          <w:sz w:val="20"/>
          <w:szCs w:val="20"/>
        </w:rPr>
      </w:pPr>
      <w:r>
        <w:rPr>
          <w:rFonts w:ascii="Arial" w:eastAsia="Arial" w:hAnsi="Arial" w:cs="Arial"/>
          <w:b/>
          <w:color w:val="000000"/>
          <w:sz w:val="20"/>
          <w:szCs w:val="20"/>
        </w:rPr>
        <w:t>Praha, 2</w:t>
      </w:r>
      <w:r w:rsidR="004F0816">
        <w:rPr>
          <w:rFonts w:ascii="Arial" w:eastAsia="Arial" w:hAnsi="Arial" w:cs="Arial"/>
          <w:b/>
          <w:color w:val="000000"/>
          <w:sz w:val="20"/>
          <w:szCs w:val="20"/>
        </w:rPr>
        <w:t>3</w:t>
      </w:r>
      <w:r>
        <w:rPr>
          <w:rFonts w:ascii="Arial" w:eastAsia="Arial" w:hAnsi="Arial" w:cs="Arial"/>
          <w:b/>
          <w:color w:val="000000"/>
          <w:sz w:val="20"/>
          <w:szCs w:val="20"/>
        </w:rPr>
        <w:t xml:space="preserve">. září 2022 - Nové byty nemusejí vždy vznikat na zelené louce a zabírat tak původně zemědělskou půdu. Velký potenciál v tomto ohledu pak mají brownfieldy – nevyužívané části území či objektů, které mohou často nabídnout prostor pro výstavbu tolik chybějících bytů. Podobné projekty již stojí například v pražských Holešovicích či Libni, aktuálně pak takové velké </w:t>
      </w:r>
      <w:r w:rsidR="00990020">
        <w:rPr>
          <w:rFonts w:ascii="Arial" w:eastAsia="Arial" w:hAnsi="Arial" w:cs="Arial"/>
          <w:b/>
          <w:color w:val="000000"/>
          <w:sz w:val="20"/>
          <w:szCs w:val="20"/>
        </w:rPr>
        <w:t>výstavby</w:t>
      </w:r>
      <w:r>
        <w:rPr>
          <w:rFonts w:ascii="Arial" w:eastAsia="Arial" w:hAnsi="Arial" w:cs="Arial"/>
          <w:b/>
          <w:color w:val="000000"/>
          <w:sz w:val="20"/>
          <w:szCs w:val="20"/>
        </w:rPr>
        <w:t xml:space="preserve"> vznikají i na Kladně. </w:t>
      </w:r>
    </w:p>
    <w:p w14:paraId="4A4CCC64" w14:textId="15724B95" w:rsidR="00705D66" w:rsidRDefault="00000000">
      <w:pPr>
        <w:pBdr>
          <w:top w:val="nil"/>
          <w:left w:val="nil"/>
          <w:bottom w:val="nil"/>
          <w:right w:val="nil"/>
          <w:between w:val="nil"/>
        </w:pBdr>
        <w:shd w:val="clear" w:color="auto" w:fill="FFFFFF"/>
        <w:spacing w:before="280" w:after="280" w:line="360" w:lineRule="auto"/>
        <w:rPr>
          <w:rFonts w:ascii="Arial" w:eastAsia="Arial" w:hAnsi="Arial" w:cs="Arial"/>
          <w:color w:val="000000"/>
          <w:sz w:val="20"/>
          <w:szCs w:val="20"/>
        </w:rPr>
      </w:pPr>
      <w:r>
        <w:rPr>
          <w:rFonts w:ascii="Arial" w:eastAsia="Arial" w:hAnsi="Arial" w:cs="Arial"/>
          <w:color w:val="000000"/>
          <w:sz w:val="20"/>
          <w:szCs w:val="20"/>
        </w:rPr>
        <w:t>„Vysloužilé areály většinou mají svou historii, která dává místu minulost, a navíc vyvolává nostalgii. Developeři pak na těchto místech budují projekty, které místům dávají novou budoucnost,“ říká Kamil Dunaj, ředitel Business developmentu společnosti Getberg. Nejen že nezabírají zemědělskou půdu, ale využívají dosud zanedbané prostory. Lokalitě pak přinášejí chybějící infrastrukturu a pomáhají celkové kultivaci místa.</w:t>
      </w:r>
    </w:p>
    <w:p w14:paraId="7F49F6F6" w14:textId="4D54781D" w:rsidR="00705D66" w:rsidRDefault="00000000">
      <w:pPr>
        <w:pBdr>
          <w:top w:val="nil"/>
          <w:left w:val="nil"/>
          <w:bottom w:val="nil"/>
          <w:right w:val="nil"/>
          <w:between w:val="nil"/>
        </w:pBdr>
        <w:shd w:val="clear" w:color="auto" w:fill="FFFFFF"/>
        <w:spacing w:before="280" w:after="280" w:line="360" w:lineRule="auto"/>
        <w:rPr>
          <w:rFonts w:ascii="Arial" w:eastAsia="Arial" w:hAnsi="Arial" w:cs="Arial"/>
          <w:color w:val="000000"/>
          <w:sz w:val="20"/>
          <w:szCs w:val="20"/>
        </w:rPr>
      </w:pPr>
      <w:r>
        <w:rPr>
          <w:rFonts w:ascii="Arial" w:eastAsia="Arial" w:hAnsi="Arial" w:cs="Arial"/>
          <w:color w:val="000000"/>
          <w:sz w:val="20"/>
          <w:szCs w:val="20"/>
        </w:rPr>
        <w:t>V Praze j</w:t>
      </w:r>
      <w:r w:rsidR="00990020">
        <w:rPr>
          <w:rFonts w:ascii="Arial" w:eastAsia="Arial" w:hAnsi="Arial" w:cs="Arial"/>
          <w:color w:val="000000"/>
          <w:sz w:val="20"/>
          <w:szCs w:val="20"/>
        </w:rPr>
        <w:t>sou</w:t>
      </w:r>
      <w:r>
        <w:rPr>
          <w:rFonts w:ascii="Arial" w:eastAsia="Arial" w:hAnsi="Arial" w:cs="Arial"/>
          <w:color w:val="000000"/>
          <w:sz w:val="20"/>
          <w:szCs w:val="20"/>
        </w:rPr>
        <w:t xml:space="preserve"> dobrým příkladem prostory Holešovic, Vysočan či libeňské Palmovky.  </w:t>
      </w:r>
      <w:r w:rsidR="00990020">
        <w:rPr>
          <w:rFonts w:ascii="Arial" w:eastAsia="Arial" w:hAnsi="Arial" w:cs="Arial"/>
          <w:color w:val="000000"/>
          <w:sz w:val="20"/>
          <w:szCs w:val="20"/>
        </w:rPr>
        <w:t>T</w:t>
      </w:r>
      <w:r w:rsidR="0024089C">
        <w:rPr>
          <w:rFonts w:ascii="Arial" w:eastAsia="Arial" w:hAnsi="Arial" w:cs="Arial"/>
          <w:color w:val="000000"/>
          <w:sz w:val="20"/>
          <w:szCs w:val="20"/>
        </w:rPr>
        <w:t>a</w:t>
      </w:r>
      <w:r>
        <w:rPr>
          <w:rFonts w:ascii="Arial" w:eastAsia="Arial" w:hAnsi="Arial" w:cs="Arial"/>
          <w:color w:val="000000"/>
          <w:sz w:val="20"/>
          <w:szCs w:val="20"/>
        </w:rPr>
        <w:t xml:space="preserve"> se během posledních pěti let změnil</w:t>
      </w:r>
      <w:r w:rsidR="0024089C">
        <w:rPr>
          <w:rFonts w:ascii="Arial" w:eastAsia="Arial" w:hAnsi="Arial" w:cs="Arial"/>
          <w:color w:val="000000"/>
          <w:sz w:val="20"/>
          <w:szCs w:val="20"/>
        </w:rPr>
        <w:t>a</w:t>
      </w:r>
      <w:r>
        <w:rPr>
          <w:rFonts w:ascii="Arial" w:eastAsia="Arial" w:hAnsi="Arial" w:cs="Arial"/>
          <w:color w:val="000000"/>
          <w:sz w:val="20"/>
          <w:szCs w:val="20"/>
        </w:rPr>
        <w:t xml:space="preserve"> k nepoznání a další rozvoj ji ještě čeká. Okolí stanice metra Palmovka bylo dlouhá léta nehostinným územím, kterému se mnoho lidí raději vyhnulo. Dnes již </w:t>
      </w:r>
      <w:r w:rsidR="0024089C">
        <w:rPr>
          <w:rFonts w:ascii="Arial" w:eastAsia="Arial" w:hAnsi="Arial" w:cs="Arial"/>
          <w:color w:val="000000"/>
          <w:sz w:val="20"/>
          <w:szCs w:val="20"/>
        </w:rPr>
        <w:t xml:space="preserve">zde </w:t>
      </w:r>
      <w:r>
        <w:rPr>
          <w:rFonts w:ascii="Arial" w:eastAsia="Arial" w:hAnsi="Arial" w:cs="Arial"/>
          <w:color w:val="000000"/>
          <w:sz w:val="20"/>
          <w:szCs w:val="20"/>
        </w:rPr>
        <w:t>ale stojí kancelářské komplexy s navázanou infrastrukturou obchodů a služeb, luxusní rezidenční projekty a celá lokalita se mění k nepoznání.</w:t>
      </w:r>
    </w:p>
    <w:p w14:paraId="53942504" w14:textId="77777777" w:rsidR="00705D66" w:rsidRDefault="00000000">
      <w:pPr>
        <w:pBdr>
          <w:top w:val="nil"/>
          <w:left w:val="nil"/>
          <w:bottom w:val="nil"/>
          <w:right w:val="nil"/>
          <w:between w:val="nil"/>
        </w:pBdr>
        <w:shd w:val="clear" w:color="auto" w:fill="FFFFFF"/>
        <w:spacing w:before="280" w:after="280" w:line="360" w:lineRule="auto"/>
        <w:rPr>
          <w:rFonts w:ascii="Arial" w:eastAsia="Arial" w:hAnsi="Arial" w:cs="Arial"/>
          <w:color w:val="000000"/>
          <w:sz w:val="20"/>
          <w:szCs w:val="20"/>
        </w:rPr>
      </w:pPr>
      <w:r>
        <w:rPr>
          <w:rFonts w:ascii="Arial" w:eastAsia="Arial" w:hAnsi="Arial" w:cs="Arial"/>
          <w:color w:val="000000"/>
          <w:sz w:val="20"/>
          <w:szCs w:val="20"/>
        </w:rPr>
        <w:t>Podobná změna nyní čeká třeba pražské Letňany a Čakovice, kde má vzniknout čtvrť se zhruba 7000 byty. Náklady na výstavbu jsou odhadovány na 70 miliard korun. Čtvrť má s centrem města propojit zmodernizovaná železnice a nová tramvajová trať. Již začala dekontaminace pozemků po průmyslové výrobě, což je často první náročný krok při přebudovávání brownfieldů. V Praze ještě čeká velká výstavba také areál Nákladového nádraží Žižkov, v plánu je stavba v rozvojovém území Bubny-Zátory, kde má podle studie města v budoucnu žít až 25 000 lidí. Další brownfieldy se nacházejí ve Vysočanech, v Hloubětíně či v oblasti Bohdalce a Slatin.</w:t>
      </w:r>
    </w:p>
    <w:p w14:paraId="755CE8C9" w14:textId="783801AA" w:rsidR="00705D66" w:rsidRDefault="00000000">
      <w:pPr>
        <w:pBdr>
          <w:top w:val="nil"/>
          <w:left w:val="nil"/>
          <w:bottom w:val="nil"/>
          <w:right w:val="nil"/>
          <w:between w:val="nil"/>
        </w:pBdr>
        <w:shd w:val="clear" w:color="auto" w:fill="FFFFFF"/>
        <w:spacing w:before="280" w:line="360" w:lineRule="auto"/>
        <w:rPr>
          <w:rFonts w:ascii="Arial" w:eastAsia="Arial" w:hAnsi="Arial" w:cs="Arial"/>
          <w:color w:val="000000"/>
          <w:sz w:val="20"/>
          <w:szCs w:val="20"/>
        </w:rPr>
      </w:pPr>
      <w:r>
        <w:rPr>
          <w:rFonts w:ascii="Arial" w:eastAsia="Arial" w:hAnsi="Arial" w:cs="Arial"/>
          <w:color w:val="000000"/>
          <w:sz w:val="20"/>
          <w:szCs w:val="20"/>
        </w:rPr>
        <w:t xml:space="preserve">Nejedná se ale jen o Prahu. Proměnou nyní prochází i první brownfieldy v částech Kladna, například Kladno Dubí. „Mnoho kladenských lokalit nyní dostává nový háv. Ožívají brownfieldy a obnova krajiny přináší do dříve spících míst nový život. </w:t>
      </w:r>
      <w:r w:rsidR="00DF1832">
        <w:rPr>
          <w:rFonts w:ascii="Arial" w:eastAsia="Arial" w:hAnsi="Arial" w:cs="Arial"/>
          <w:color w:val="000000"/>
          <w:sz w:val="20"/>
          <w:szCs w:val="20"/>
        </w:rPr>
        <w:t>Č</w:t>
      </w:r>
      <w:r>
        <w:rPr>
          <w:rFonts w:ascii="Arial" w:eastAsia="Arial" w:hAnsi="Arial" w:cs="Arial"/>
          <w:color w:val="000000"/>
          <w:sz w:val="20"/>
          <w:szCs w:val="20"/>
        </w:rPr>
        <w:t xml:space="preserve">ástí Kladna, která mění svůj vzhled, je Dubí na východě města. </w:t>
      </w:r>
      <w:r>
        <w:rPr>
          <w:rFonts w:ascii="Arial" w:eastAsia="Arial" w:hAnsi="Arial" w:cs="Arial"/>
          <w:sz w:val="20"/>
          <w:szCs w:val="20"/>
        </w:rPr>
        <w:t>J</w:t>
      </w:r>
      <w:r>
        <w:rPr>
          <w:rFonts w:ascii="Arial" w:eastAsia="Arial" w:hAnsi="Arial" w:cs="Arial"/>
          <w:color w:val="000000"/>
          <w:sz w:val="20"/>
          <w:szCs w:val="20"/>
        </w:rPr>
        <w:t>edn</w:t>
      </w:r>
      <w:r>
        <w:rPr>
          <w:rFonts w:ascii="Arial" w:eastAsia="Arial" w:hAnsi="Arial" w:cs="Arial"/>
          <w:sz w:val="20"/>
          <w:szCs w:val="20"/>
        </w:rPr>
        <w:t>á se o jednu</w:t>
      </w:r>
      <w:r>
        <w:rPr>
          <w:rFonts w:ascii="Arial" w:eastAsia="Arial" w:hAnsi="Arial" w:cs="Arial"/>
          <w:color w:val="000000"/>
          <w:sz w:val="20"/>
          <w:szCs w:val="20"/>
        </w:rPr>
        <w:t xml:space="preserve"> z </w:t>
      </w:r>
      <w:r>
        <w:rPr>
          <w:rFonts w:ascii="Arial" w:eastAsia="Arial" w:hAnsi="Arial" w:cs="Arial"/>
          <w:sz w:val="20"/>
          <w:szCs w:val="20"/>
        </w:rPr>
        <w:t>nejperspektivnějších</w:t>
      </w:r>
      <w:r>
        <w:rPr>
          <w:rFonts w:ascii="Arial" w:eastAsia="Arial" w:hAnsi="Arial" w:cs="Arial"/>
          <w:color w:val="000000"/>
          <w:sz w:val="20"/>
          <w:szCs w:val="20"/>
        </w:rPr>
        <w:t xml:space="preserve"> </w:t>
      </w:r>
      <w:r>
        <w:rPr>
          <w:rFonts w:ascii="Arial" w:eastAsia="Arial" w:hAnsi="Arial" w:cs="Arial"/>
          <w:sz w:val="20"/>
          <w:szCs w:val="20"/>
        </w:rPr>
        <w:t>částí</w:t>
      </w:r>
      <w:r>
        <w:rPr>
          <w:rFonts w:ascii="Arial" w:eastAsia="Arial" w:hAnsi="Arial" w:cs="Arial"/>
          <w:color w:val="000000"/>
          <w:sz w:val="20"/>
          <w:szCs w:val="20"/>
        </w:rPr>
        <w:t xml:space="preserve"> </w:t>
      </w:r>
      <w:r>
        <w:rPr>
          <w:rFonts w:ascii="Arial" w:eastAsia="Arial" w:hAnsi="Arial" w:cs="Arial"/>
          <w:sz w:val="20"/>
          <w:szCs w:val="20"/>
        </w:rPr>
        <w:t>K</w:t>
      </w:r>
      <w:r>
        <w:rPr>
          <w:rFonts w:ascii="Arial" w:eastAsia="Arial" w:hAnsi="Arial" w:cs="Arial"/>
          <w:color w:val="000000"/>
          <w:sz w:val="20"/>
          <w:szCs w:val="20"/>
        </w:rPr>
        <w:t>ladna, jeliko</w:t>
      </w:r>
      <w:r>
        <w:rPr>
          <w:rFonts w:ascii="Arial" w:eastAsia="Arial" w:hAnsi="Arial" w:cs="Arial"/>
          <w:sz w:val="20"/>
          <w:szCs w:val="20"/>
        </w:rPr>
        <w:t>ž</w:t>
      </w:r>
      <w:r>
        <w:rPr>
          <w:rFonts w:ascii="Arial" w:eastAsia="Arial" w:hAnsi="Arial" w:cs="Arial"/>
          <w:color w:val="000000"/>
          <w:sz w:val="20"/>
          <w:szCs w:val="20"/>
        </w:rPr>
        <w:t xml:space="preserve"> pro své umístění a charakter </w:t>
      </w:r>
      <w:r>
        <w:rPr>
          <w:rFonts w:ascii="Arial" w:eastAsia="Arial" w:hAnsi="Arial" w:cs="Arial"/>
          <w:sz w:val="20"/>
          <w:szCs w:val="20"/>
        </w:rPr>
        <w:t>má</w:t>
      </w:r>
      <w:r>
        <w:rPr>
          <w:rFonts w:ascii="Arial" w:eastAsia="Arial" w:hAnsi="Arial" w:cs="Arial"/>
          <w:color w:val="000000"/>
          <w:sz w:val="20"/>
          <w:szCs w:val="20"/>
        </w:rPr>
        <w:t xml:space="preserve"> </w:t>
      </w:r>
      <w:r>
        <w:rPr>
          <w:rFonts w:ascii="Arial" w:eastAsia="Arial" w:hAnsi="Arial" w:cs="Arial"/>
          <w:sz w:val="20"/>
          <w:szCs w:val="20"/>
        </w:rPr>
        <w:t>největší</w:t>
      </w:r>
      <w:r>
        <w:rPr>
          <w:rFonts w:ascii="Arial" w:eastAsia="Arial" w:hAnsi="Arial" w:cs="Arial"/>
          <w:color w:val="000000"/>
          <w:sz w:val="20"/>
          <w:szCs w:val="20"/>
        </w:rPr>
        <w:t xml:space="preserve"> </w:t>
      </w:r>
      <w:r>
        <w:rPr>
          <w:rFonts w:ascii="Arial" w:eastAsia="Arial" w:hAnsi="Arial" w:cs="Arial"/>
          <w:sz w:val="20"/>
          <w:szCs w:val="20"/>
        </w:rPr>
        <w:t>potenciál</w:t>
      </w:r>
      <w:r>
        <w:rPr>
          <w:rFonts w:ascii="Arial" w:eastAsia="Arial" w:hAnsi="Arial" w:cs="Arial"/>
          <w:color w:val="000000"/>
          <w:sz w:val="20"/>
          <w:szCs w:val="20"/>
        </w:rPr>
        <w:t xml:space="preserve"> z hlediska konverz</w:t>
      </w:r>
      <w:r>
        <w:rPr>
          <w:rFonts w:ascii="Arial" w:eastAsia="Arial" w:hAnsi="Arial" w:cs="Arial"/>
          <w:sz w:val="20"/>
          <w:szCs w:val="20"/>
        </w:rPr>
        <w:t>e</w:t>
      </w:r>
      <w:r>
        <w:rPr>
          <w:rFonts w:ascii="Arial" w:eastAsia="Arial" w:hAnsi="Arial" w:cs="Arial"/>
          <w:color w:val="000000"/>
          <w:sz w:val="20"/>
          <w:szCs w:val="20"/>
        </w:rPr>
        <w:t xml:space="preserve"> brownfieldu v </w:t>
      </w:r>
      <w:r>
        <w:rPr>
          <w:rFonts w:ascii="Arial" w:eastAsia="Arial" w:hAnsi="Arial" w:cs="Arial"/>
          <w:sz w:val="20"/>
          <w:szCs w:val="20"/>
        </w:rPr>
        <w:t>rezidenční</w:t>
      </w:r>
      <w:r>
        <w:rPr>
          <w:rFonts w:ascii="Arial" w:eastAsia="Arial" w:hAnsi="Arial" w:cs="Arial"/>
          <w:color w:val="000000"/>
          <w:sz w:val="20"/>
          <w:szCs w:val="20"/>
        </w:rPr>
        <w:t xml:space="preserve"> </w:t>
      </w:r>
      <w:r>
        <w:rPr>
          <w:rFonts w:ascii="Arial" w:eastAsia="Arial" w:hAnsi="Arial" w:cs="Arial"/>
          <w:sz w:val="20"/>
          <w:szCs w:val="20"/>
        </w:rPr>
        <w:t>bydlení</w:t>
      </w:r>
      <w:r>
        <w:rPr>
          <w:rFonts w:ascii="Arial" w:eastAsia="Arial" w:hAnsi="Arial" w:cs="Arial"/>
          <w:color w:val="000000"/>
          <w:sz w:val="20"/>
          <w:szCs w:val="20"/>
        </w:rPr>
        <w:t>.</w:t>
      </w:r>
      <w:r>
        <w:rPr>
          <w:rFonts w:ascii="Arial" w:eastAsia="Arial" w:hAnsi="Arial" w:cs="Arial"/>
          <w:sz w:val="20"/>
          <w:szCs w:val="20"/>
        </w:rPr>
        <w:t xml:space="preserve"> </w:t>
      </w:r>
      <w:r>
        <w:rPr>
          <w:rFonts w:ascii="Arial" w:eastAsia="Arial" w:hAnsi="Arial" w:cs="Arial"/>
          <w:color w:val="000000"/>
          <w:sz w:val="20"/>
          <w:szCs w:val="20"/>
        </w:rPr>
        <w:t xml:space="preserve">Nově zde stavíme bytový projekt nazvaný ICON Park. V podstatě se jedná o úplně novou čtvrť. A spolu s ní i školku, obchod, kavárnu, park a dětské hřiště,“ říká Kamil Dunaj, ředitel Business developmentu společnosti Getberg a dodává: „Chystáme 230 bytů s dispozicemi od 1+kk do 4+kk a budeme pracovat také na celkové </w:t>
      </w:r>
      <w:r>
        <w:rPr>
          <w:rFonts w:ascii="Arial" w:eastAsia="Arial" w:hAnsi="Arial" w:cs="Arial"/>
          <w:color w:val="000000"/>
          <w:sz w:val="20"/>
          <w:szCs w:val="20"/>
        </w:rPr>
        <w:lastRenderedPageBreak/>
        <w:t>revitalizaci oblasti. Plánujeme zde také vybudovat velký park a cestu kolem projektu nabízející možnosti sportovního vyžití.“</w:t>
      </w:r>
    </w:p>
    <w:sectPr w:rsidR="00705D66">
      <w:headerReference w:type="even" r:id="rId7"/>
      <w:headerReference w:type="default" r:id="rId8"/>
      <w:pgSz w:w="11906" w:h="16838"/>
      <w:pgMar w:top="2241" w:right="1418" w:bottom="1418" w:left="1418" w:header="794"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05E7B" w14:textId="77777777" w:rsidR="002B30FA" w:rsidRDefault="002B30FA">
      <w:r>
        <w:separator/>
      </w:r>
    </w:p>
  </w:endnote>
  <w:endnote w:type="continuationSeparator" w:id="0">
    <w:p w14:paraId="457D873B" w14:textId="77777777" w:rsidR="002B30FA" w:rsidRDefault="002B3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DBFCE" w14:textId="77777777" w:rsidR="002B30FA" w:rsidRDefault="002B30FA">
      <w:r>
        <w:separator/>
      </w:r>
    </w:p>
  </w:footnote>
  <w:footnote w:type="continuationSeparator" w:id="0">
    <w:p w14:paraId="05ECAA70" w14:textId="77777777" w:rsidR="002B30FA" w:rsidRDefault="002B30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905B5" w14:textId="77777777" w:rsidR="00705D66" w:rsidRDefault="00000000">
    <w:pPr>
      <w:pBdr>
        <w:top w:val="nil"/>
        <w:left w:val="nil"/>
        <w:bottom w:val="nil"/>
        <w:right w:val="nil"/>
        <w:between w:val="nil"/>
      </w:pBdr>
      <w:tabs>
        <w:tab w:val="center" w:pos="4536"/>
        <w:tab w:val="right" w:pos="9072"/>
      </w:tabs>
      <w:rPr>
        <w:color w:val="000000"/>
      </w:rPr>
    </w:pPr>
    <w:r>
      <w:rPr>
        <w:rFonts w:ascii="Tahoma" w:eastAsia="Tahoma" w:hAnsi="Tahoma" w:cs="Tahoma"/>
        <w:noProof/>
        <w:color w:val="000000"/>
        <w:sz w:val="20"/>
        <w:szCs w:val="20"/>
      </w:rPr>
      <w:drawing>
        <wp:inline distT="0" distB="0" distL="0" distR="0" wp14:anchorId="272EA08A" wp14:editId="42D191B8">
          <wp:extent cx="2447925" cy="1115695"/>
          <wp:effectExtent l="0" t="0" r="0" b="0"/>
          <wp:docPr id="4" name="image1.jpg" descr="logo_metrostav_development"/>
          <wp:cNvGraphicFramePr/>
          <a:graphic xmlns:a="http://schemas.openxmlformats.org/drawingml/2006/main">
            <a:graphicData uri="http://schemas.openxmlformats.org/drawingml/2006/picture">
              <pic:pic xmlns:pic="http://schemas.openxmlformats.org/drawingml/2006/picture">
                <pic:nvPicPr>
                  <pic:cNvPr id="0" name="image1.jpg" descr="logo_metrostav_development"/>
                  <pic:cNvPicPr preferRelativeResize="0"/>
                </pic:nvPicPr>
                <pic:blipFill>
                  <a:blip r:embed="rId1"/>
                  <a:srcRect/>
                  <a:stretch>
                    <a:fillRect/>
                  </a:stretch>
                </pic:blipFill>
                <pic:spPr>
                  <a:xfrm>
                    <a:off x="0" y="0"/>
                    <a:ext cx="2447925" cy="1115695"/>
                  </a:xfrm>
                  <a:prstGeom prst="rect">
                    <a:avLst/>
                  </a:prstGeom>
                  <a:ln/>
                </pic:spPr>
              </pic:pic>
            </a:graphicData>
          </a:graphic>
        </wp:inline>
      </w:drawing>
    </w:r>
    <w:r>
      <w:rPr>
        <w:rFonts w:ascii="Tahoma" w:eastAsia="Tahoma" w:hAnsi="Tahoma" w:cs="Tahoma"/>
        <w:noProof/>
        <w:color w:val="000000"/>
        <w:sz w:val="20"/>
        <w:szCs w:val="20"/>
      </w:rPr>
      <w:drawing>
        <wp:inline distT="0" distB="0" distL="0" distR="0" wp14:anchorId="7CD01389" wp14:editId="558A6ADA">
          <wp:extent cx="2447925" cy="1115695"/>
          <wp:effectExtent l="0" t="0" r="0" b="0"/>
          <wp:docPr id="6" name="image1.jpg" descr="logo_metrostav_development"/>
          <wp:cNvGraphicFramePr/>
          <a:graphic xmlns:a="http://schemas.openxmlformats.org/drawingml/2006/main">
            <a:graphicData uri="http://schemas.openxmlformats.org/drawingml/2006/picture">
              <pic:pic xmlns:pic="http://schemas.openxmlformats.org/drawingml/2006/picture">
                <pic:nvPicPr>
                  <pic:cNvPr id="0" name="image1.jpg" descr="logo_metrostav_development"/>
                  <pic:cNvPicPr preferRelativeResize="0"/>
                </pic:nvPicPr>
                <pic:blipFill>
                  <a:blip r:embed="rId1"/>
                  <a:srcRect/>
                  <a:stretch>
                    <a:fillRect/>
                  </a:stretch>
                </pic:blipFill>
                <pic:spPr>
                  <a:xfrm>
                    <a:off x="0" y="0"/>
                    <a:ext cx="2447925" cy="1115695"/>
                  </a:xfrm>
                  <a:prstGeom prst="rect">
                    <a:avLst/>
                  </a:prstGeom>
                  <a:ln/>
                </pic:spPr>
              </pic:pic>
            </a:graphicData>
          </a:graphic>
        </wp:inline>
      </w:drawing>
    </w:r>
    <w:r>
      <w:rPr>
        <w:noProof/>
        <w:color w:val="000000"/>
      </w:rPr>
      <w:drawing>
        <wp:inline distT="0" distB="0" distL="0" distR="0" wp14:anchorId="3A31FF3E" wp14:editId="2B19C365">
          <wp:extent cx="2447925" cy="1115695"/>
          <wp:effectExtent l="0" t="0" r="0" b="0"/>
          <wp:docPr id="5" name="image1.jpg" descr="logo_metrostav_development"/>
          <wp:cNvGraphicFramePr/>
          <a:graphic xmlns:a="http://schemas.openxmlformats.org/drawingml/2006/main">
            <a:graphicData uri="http://schemas.openxmlformats.org/drawingml/2006/picture">
              <pic:pic xmlns:pic="http://schemas.openxmlformats.org/drawingml/2006/picture">
                <pic:nvPicPr>
                  <pic:cNvPr id="0" name="image1.jpg" descr="logo_metrostav_development"/>
                  <pic:cNvPicPr preferRelativeResize="0"/>
                </pic:nvPicPr>
                <pic:blipFill>
                  <a:blip r:embed="rId1"/>
                  <a:srcRect/>
                  <a:stretch>
                    <a:fillRect/>
                  </a:stretch>
                </pic:blipFill>
                <pic:spPr>
                  <a:xfrm>
                    <a:off x="0" y="0"/>
                    <a:ext cx="2447925" cy="1115695"/>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E0655" w14:textId="77777777" w:rsidR="00705D66" w:rsidRDefault="00705D66">
    <w:pPr>
      <w:pBdr>
        <w:top w:val="nil"/>
        <w:left w:val="nil"/>
        <w:bottom w:val="nil"/>
        <w:right w:val="nil"/>
        <w:between w:val="nil"/>
      </w:pBdr>
      <w:tabs>
        <w:tab w:val="center" w:pos="4536"/>
        <w:tab w:val="right" w:pos="9072"/>
      </w:tabs>
      <w:jc w:val="right"/>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D66"/>
    <w:rsid w:val="0024089C"/>
    <w:rsid w:val="002B30FA"/>
    <w:rsid w:val="004B58A5"/>
    <w:rsid w:val="004F0816"/>
    <w:rsid w:val="006C5B9B"/>
    <w:rsid w:val="00705D66"/>
    <w:rsid w:val="00990020"/>
    <w:rsid w:val="00DF183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0D1B0"/>
  <w15:docId w15:val="{6E99B6C3-93B3-40B0-81DB-AF80E14F9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13079F"/>
    <w:pPr>
      <w:keepNext/>
      <w:spacing w:before="240" w:after="60"/>
      <w:outlineLvl w:val="0"/>
    </w:pPr>
    <w:rPr>
      <w:rFonts w:ascii="Cambria" w:hAnsi="Cambria"/>
      <w:b/>
      <w:bCs/>
      <w:kern w:val="32"/>
      <w:sz w:val="32"/>
      <w:szCs w:val="32"/>
    </w:rPr>
  </w:style>
  <w:style w:type="paragraph" w:styleId="Nadpis2">
    <w:name w:val="heading 2"/>
    <w:basedOn w:val="Normln"/>
    <w:next w:val="Normln"/>
    <w:link w:val="Nadpis2Char"/>
    <w:uiPriority w:val="9"/>
    <w:semiHidden/>
    <w:unhideWhenUsed/>
    <w:qFormat/>
    <w:rsid w:val="00DE4DB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Zhlav">
    <w:name w:val="header"/>
    <w:basedOn w:val="Normln"/>
    <w:link w:val="ZhlavChar"/>
    <w:uiPriority w:val="99"/>
    <w:rsid w:val="002A3D4F"/>
    <w:pPr>
      <w:tabs>
        <w:tab w:val="center" w:pos="4536"/>
        <w:tab w:val="right" w:pos="9072"/>
      </w:tabs>
    </w:pPr>
  </w:style>
  <w:style w:type="paragraph" w:styleId="Zpat">
    <w:name w:val="footer"/>
    <w:basedOn w:val="Normln"/>
    <w:link w:val="ZpatChar"/>
    <w:uiPriority w:val="99"/>
    <w:rsid w:val="002A3D4F"/>
    <w:pPr>
      <w:tabs>
        <w:tab w:val="center" w:pos="4536"/>
        <w:tab w:val="right" w:pos="9072"/>
      </w:tabs>
    </w:pPr>
  </w:style>
  <w:style w:type="character" w:styleId="Hypertextovodkaz">
    <w:name w:val="Hyperlink"/>
    <w:rsid w:val="00C22392"/>
    <w:rPr>
      <w:color w:val="0000FF"/>
      <w:u w:val="single"/>
    </w:rPr>
  </w:style>
  <w:style w:type="character" w:customStyle="1" w:styleId="apple-converted-space">
    <w:name w:val="apple-converted-space"/>
    <w:basedOn w:val="Standardnpsmoodstavce"/>
    <w:rsid w:val="00D51507"/>
  </w:style>
  <w:style w:type="character" w:customStyle="1" w:styleId="ZhlavChar">
    <w:name w:val="Záhlaví Char"/>
    <w:link w:val="Zhlav"/>
    <w:uiPriority w:val="99"/>
    <w:rsid w:val="0033304A"/>
    <w:rPr>
      <w:sz w:val="24"/>
      <w:szCs w:val="24"/>
    </w:rPr>
  </w:style>
  <w:style w:type="character" w:customStyle="1" w:styleId="ZpatChar">
    <w:name w:val="Zápatí Char"/>
    <w:link w:val="Zpat"/>
    <w:uiPriority w:val="99"/>
    <w:rsid w:val="0033304A"/>
    <w:rPr>
      <w:sz w:val="24"/>
      <w:szCs w:val="24"/>
    </w:rPr>
  </w:style>
  <w:style w:type="paragraph" w:styleId="Normlnweb">
    <w:name w:val="Normal (Web)"/>
    <w:basedOn w:val="Normln"/>
    <w:uiPriority w:val="99"/>
    <w:unhideWhenUsed/>
    <w:rsid w:val="00DA0BAB"/>
    <w:pPr>
      <w:spacing w:before="100" w:beforeAutospacing="1" w:after="100" w:afterAutospacing="1"/>
    </w:pPr>
  </w:style>
  <w:style w:type="character" w:styleId="Siln">
    <w:name w:val="Strong"/>
    <w:qFormat/>
    <w:rsid w:val="00DA0BAB"/>
    <w:rPr>
      <w:b/>
      <w:bCs/>
    </w:rPr>
  </w:style>
  <w:style w:type="paragraph" w:styleId="Textbubliny">
    <w:name w:val="Balloon Text"/>
    <w:basedOn w:val="Normln"/>
    <w:link w:val="TextbublinyChar"/>
    <w:rsid w:val="001A7F66"/>
    <w:rPr>
      <w:rFonts w:ascii="Tahoma" w:hAnsi="Tahoma" w:cs="Tahoma"/>
      <w:sz w:val="16"/>
      <w:szCs w:val="16"/>
    </w:rPr>
  </w:style>
  <w:style w:type="character" w:customStyle="1" w:styleId="TextbublinyChar">
    <w:name w:val="Text bubliny Char"/>
    <w:link w:val="Textbubliny"/>
    <w:rsid w:val="001A7F66"/>
    <w:rPr>
      <w:rFonts w:ascii="Tahoma" w:hAnsi="Tahoma" w:cs="Tahoma"/>
      <w:sz w:val="16"/>
      <w:szCs w:val="16"/>
    </w:rPr>
  </w:style>
  <w:style w:type="character" w:styleId="Odkaznakoment">
    <w:name w:val="annotation reference"/>
    <w:rsid w:val="000E6FE8"/>
    <w:rPr>
      <w:sz w:val="16"/>
      <w:szCs w:val="16"/>
    </w:rPr>
  </w:style>
  <w:style w:type="paragraph" w:styleId="Textkomente">
    <w:name w:val="annotation text"/>
    <w:basedOn w:val="Normln"/>
    <w:link w:val="TextkomenteChar"/>
    <w:rsid w:val="000E6FE8"/>
    <w:rPr>
      <w:sz w:val="20"/>
      <w:szCs w:val="20"/>
    </w:rPr>
  </w:style>
  <w:style w:type="character" w:customStyle="1" w:styleId="TextkomenteChar">
    <w:name w:val="Text komentáře Char"/>
    <w:basedOn w:val="Standardnpsmoodstavce"/>
    <w:link w:val="Textkomente"/>
    <w:rsid w:val="000E6FE8"/>
  </w:style>
  <w:style w:type="paragraph" w:styleId="Pedmtkomente">
    <w:name w:val="annotation subject"/>
    <w:basedOn w:val="Textkomente"/>
    <w:next w:val="Textkomente"/>
    <w:link w:val="PedmtkomenteChar"/>
    <w:rsid w:val="000E6FE8"/>
    <w:rPr>
      <w:b/>
      <w:bCs/>
    </w:rPr>
  </w:style>
  <w:style w:type="character" w:customStyle="1" w:styleId="PedmtkomenteChar">
    <w:name w:val="Předmět komentáře Char"/>
    <w:link w:val="Pedmtkomente"/>
    <w:rsid w:val="000E6FE8"/>
    <w:rPr>
      <w:b/>
      <w:bCs/>
    </w:rPr>
  </w:style>
  <w:style w:type="paragraph" w:styleId="Revize">
    <w:name w:val="Revision"/>
    <w:hidden/>
    <w:uiPriority w:val="99"/>
    <w:semiHidden/>
    <w:rsid w:val="000E6FE8"/>
  </w:style>
  <w:style w:type="character" w:customStyle="1" w:styleId="Nadpis1Char">
    <w:name w:val="Nadpis 1 Char"/>
    <w:link w:val="Nadpis1"/>
    <w:rsid w:val="0013079F"/>
    <w:rPr>
      <w:rFonts w:ascii="Cambria" w:eastAsia="Times New Roman" w:hAnsi="Cambria" w:cs="Times New Roman"/>
      <w:b/>
      <w:bCs/>
      <w:kern w:val="32"/>
      <w:sz w:val="32"/>
      <w:szCs w:val="32"/>
    </w:rPr>
  </w:style>
  <w:style w:type="character" w:customStyle="1" w:styleId="Nadpis2Char">
    <w:name w:val="Nadpis 2 Char"/>
    <w:basedOn w:val="Standardnpsmoodstavce"/>
    <w:link w:val="Nadpis2"/>
    <w:semiHidden/>
    <w:rsid w:val="00DE4DB3"/>
    <w:rPr>
      <w:rFonts w:asciiTheme="majorHAnsi" w:eastAsiaTheme="majorEastAsia" w:hAnsiTheme="majorHAnsi" w:cstheme="majorBidi"/>
      <w:color w:val="2E74B5" w:themeColor="accent1" w:themeShade="BF"/>
      <w:sz w:val="26"/>
      <w:szCs w:val="26"/>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JqhGxCQ+sSHtC0V22PuU8tlhDPw==">AMUW2mUHSXuFnX8W8hJizpb0dMweEc1gVIAeBM/8gUWcy7+35Qzz0vuKSkgHlZrGdF80PI1OJUWCB0sBrDXgfOBj7aqgKBXvLmVjYaTKtdzgICwzx2pBjCI=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418</Words>
  <Characters>2469</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Petr</cp:lastModifiedBy>
  <cp:revision>5</cp:revision>
  <cp:lastPrinted>2022-09-23T09:42:00Z</cp:lastPrinted>
  <dcterms:created xsi:type="dcterms:W3CDTF">2022-09-23T08:58:00Z</dcterms:created>
  <dcterms:modified xsi:type="dcterms:W3CDTF">2022-09-23T09:53:00Z</dcterms:modified>
</cp:coreProperties>
</file>