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F9412" w14:textId="738DA9F2" w:rsidR="004C7BDF" w:rsidRDefault="004C7BDF" w:rsidP="00713EFE">
      <w:pPr>
        <w:pStyle w:val="Zkladntext"/>
        <w:spacing w:after="192"/>
        <w:jc w:val="left"/>
        <w:rPr>
          <w:sz w:val="28"/>
          <w:szCs w:val="28"/>
          <w:lang w:val="cs-CZ"/>
        </w:rPr>
      </w:pPr>
    </w:p>
    <w:p w14:paraId="27506DFA" w14:textId="743AB540" w:rsidR="002132CC" w:rsidRPr="00BA736B" w:rsidRDefault="002132CC" w:rsidP="00713EFE">
      <w:pPr>
        <w:pStyle w:val="Zkladntext"/>
        <w:spacing w:after="192"/>
        <w:jc w:val="left"/>
        <w:rPr>
          <w:sz w:val="28"/>
          <w:szCs w:val="28"/>
          <w:lang w:val="cs-CZ"/>
        </w:rPr>
      </w:pPr>
      <w:r w:rsidRPr="00BA736B">
        <w:rPr>
          <w:sz w:val="28"/>
          <w:szCs w:val="28"/>
          <w:lang w:val="cs-CZ"/>
        </w:rPr>
        <w:t xml:space="preserve">TISKOVÁ </w:t>
      </w:r>
      <w:r w:rsidR="00BF7AFA">
        <w:rPr>
          <w:sz w:val="28"/>
          <w:szCs w:val="28"/>
          <w:lang w:val="cs-CZ"/>
        </w:rPr>
        <w:t>INFORMACE</w:t>
      </w:r>
      <w:r w:rsidRPr="00BA736B">
        <w:rPr>
          <w:sz w:val="28"/>
          <w:szCs w:val="28"/>
          <w:lang w:val="cs-CZ"/>
        </w:rPr>
        <w:tab/>
      </w:r>
      <w:r w:rsidRPr="00BA736B">
        <w:rPr>
          <w:sz w:val="28"/>
          <w:szCs w:val="28"/>
          <w:lang w:val="cs-CZ"/>
        </w:rPr>
        <w:tab/>
      </w:r>
      <w:r w:rsidRPr="00BA736B">
        <w:rPr>
          <w:sz w:val="28"/>
          <w:szCs w:val="28"/>
          <w:lang w:val="cs-CZ"/>
        </w:rPr>
        <w:tab/>
      </w:r>
      <w:r w:rsidRPr="00BA736B">
        <w:rPr>
          <w:sz w:val="28"/>
          <w:szCs w:val="28"/>
          <w:lang w:val="cs-CZ"/>
        </w:rPr>
        <w:tab/>
      </w:r>
      <w:r w:rsidRPr="00BA736B">
        <w:rPr>
          <w:sz w:val="28"/>
          <w:szCs w:val="28"/>
          <w:lang w:val="cs-CZ"/>
        </w:rPr>
        <w:tab/>
      </w:r>
      <w:r w:rsidRPr="00BA736B">
        <w:rPr>
          <w:sz w:val="28"/>
          <w:szCs w:val="28"/>
          <w:lang w:val="cs-CZ"/>
        </w:rPr>
        <w:tab/>
      </w:r>
      <w:r w:rsidR="00537E32">
        <w:rPr>
          <w:sz w:val="28"/>
          <w:szCs w:val="28"/>
          <w:lang w:val="cs-CZ"/>
        </w:rPr>
        <w:t>2</w:t>
      </w:r>
      <w:r w:rsidR="0098607C">
        <w:rPr>
          <w:sz w:val="28"/>
          <w:szCs w:val="28"/>
          <w:lang w:val="cs-CZ"/>
        </w:rPr>
        <w:t xml:space="preserve">. </w:t>
      </w:r>
      <w:r w:rsidR="00537E32">
        <w:rPr>
          <w:sz w:val="28"/>
          <w:szCs w:val="28"/>
          <w:lang w:val="cs-CZ"/>
        </w:rPr>
        <w:t>1</w:t>
      </w:r>
      <w:r w:rsidR="00077492">
        <w:rPr>
          <w:sz w:val="28"/>
          <w:szCs w:val="28"/>
          <w:lang w:val="cs-CZ"/>
        </w:rPr>
        <w:t>2</w:t>
      </w:r>
      <w:r w:rsidR="0098607C">
        <w:rPr>
          <w:sz w:val="28"/>
          <w:szCs w:val="28"/>
          <w:lang w:val="cs-CZ"/>
        </w:rPr>
        <w:t>. 202</w:t>
      </w:r>
      <w:r w:rsidR="00077492">
        <w:rPr>
          <w:sz w:val="28"/>
          <w:szCs w:val="28"/>
          <w:lang w:val="cs-CZ"/>
        </w:rPr>
        <w:t>2</w:t>
      </w:r>
    </w:p>
    <w:p w14:paraId="5397D7D3" w14:textId="77777777" w:rsidR="009C3377" w:rsidRPr="00BA736B" w:rsidRDefault="009C3377" w:rsidP="00713EFE">
      <w:pPr>
        <w:spacing w:before="280" w:after="192"/>
        <w:rPr>
          <w:b/>
          <w:bCs/>
          <w:sz w:val="24"/>
          <w:szCs w:val="24"/>
        </w:rPr>
      </w:pPr>
    </w:p>
    <w:p w14:paraId="4C3851DC" w14:textId="187A0F5E" w:rsidR="00CE6320" w:rsidRDefault="00CE6320" w:rsidP="009A5DED">
      <w:pPr>
        <w:pStyle w:val="Bezmezer"/>
        <w:spacing w:after="192"/>
        <w:rPr>
          <w:b/>
          <w:bCs/>
          <w:sz w:val="24"/>
          <w:szCs w:val="24"/>
        </w:rPr>
      </w:pPr>
      <w:r>
        <w:rPr>
          <w:b/>
          <w:bCs/>
          <w:sz w:val="24"/>
          <w:szCs w:val="24"/>
        </w:rPr>
        <w:t>Jak dosáhnout</w:t>
      </w:r>
      <w:r w:rsidRPr="00CE6320">
        <w:rPr>
          <w:b/>
          <w:bCs/>
          <w:sz w:val="24"/>
          <w:szCs w:val="24"/>
        </w:rPr>
        <w:t xml:space="preserve"> stabilit</w:t>
      </w:r>
      <w:r>
        <w:rPr>
          <w:b/>
          <w:bCs/>
          <w:sz w:val="24"/>
          <w:szCs w:val="24"/>
        </w:rPr>
        <w:t>y</w:t>
      </w:r>
      <w:r w:rsidRPr="00CE6320">
        <w:rPr>
          <w:b/>
          <w:bCs/>
          <w:sz w:val="24"/>
          <w:szCs w:val="24"/>
        </w:rPr>
        <w:t xml:space="preserve"> cen energií v Česku? </w:t>
      </w:r>
      <w:r>
        <w:rPr>
          <w:b/>
          <w:bCs/>
          <w:sz w:val="24"/>
          <w:szCs w:val="24"/>
        </w:rPr>
        <w:t>Pomůže k tomu d</w:t>
      </w:r>
      <w:r w:rsidRPr="00CE6320">
        <w:rPr>
          <w:b/>
          <w:bCs/>
          <w:sz w:val="24"/>
          <w:szCs w:val="24"/>
        </w:rPr>
        <w:t>ecentraliz</w:t>
      </w:r>
      <w:r>
        <w:rPr>
          <w:b/>
          <w:bCs/>
          <w:sz w:val="24"/>
          <w:szCs w:val="24"/>
        </w:rPr>
        <w:t>ace</w:t>
      </w:r>
      <w:r w:rsidRPr="00CE6320">
        <w:rPr>
          <w:b/>
          <w:bCs/>
          <w:sz w:val="24"/>
          <w:szCs w:val="24"/>
        </w:rPr>
        <w:t>, digitaliz</w:t>
      </w:r>
      <w:r>
        <w:rPr>
          <w:b/>
          <w:bCs/>
          <w:sz w:val="24"/>
          <w:szCs w:val="24"/>
        </w:rPr>
        <w:t>ace</w:t>
      </w:r>
      <w:r w:rsidRPr="00CE6320">
        <w:rPr>
          <w:b/>
          <w:bCs/>
          <w:sz w:val="24"/>
          <w:szCs w:val="24"/>
        </w:rPr>
        <w:t xml:space="preserve"> a dekarboniz</w:t>
      </w:r>
      <w:r>
        <w:rPr>
          <w:b/>
          <w:bCs/>
          <w:sz w:val="24"/>
          <w:szCs w:val="24"/>
        </w:rPr>
        <w:t>ace</w:t>
      </w:r>
      <w:r w:rsidRPr="00CE6320">
        <w:rPr>
          <w:b/>
          <w:bCs/>
          <w:sz w:val="24"/>
          <w:szCs w:val="24"/>
        </w:rPr>
        <w:t xml:space="preserve"> sítě</w:t>
      </w:r>
    </w:p>
    <w:p w14:paraId="238834BD" w14:textId="7DCD68BF" w:rsidR="00CC1EC6" w:rsidRDefault="00CC1EC6" w:rsidP="009A5DED">
      <w:pPr>
        <w:pStyle w:val="Bezmezer"/>
        <w:spacing w:after="192"/>
        <w:rPr>
          <w:b/>
          <w:bCs/>
        </w:rPr>
      </w:pPr>
      <w:r w:rsidRPr="00CC1EC6">
        <w:rPr>
          <w:b/>
          <w:bCs/>
        </w:rPr>
        <w:t>Komentář Karla Kotouna, senior manažera v oblasti finančních služeb Accenture ČR</w:t>
      </w:r>
    </w:p>
    <w:p w14:paraId="0F4EDECB" w14:textId="77777777" w:rsidR="00537E32" w:rsidRDefault="00537E32" w:rsidP="009A5DED">
      <w:pPr>
        <w:pStyle w:val="Bezmezer"/>
        <w:spacing w:after="192"/>
        <w:rPr>
          <w:i/>
          <w:iCs/>
        </w:rPr>
      </w:pPr>
    </w:p>
    <w:p w14:paraId="218EB9AF" w14:textId="25D59F59" w:rsidR="00CC1EC6" w:rsidRPr="001251F8" w:rsidRDefault="001251F8" w:rsidP="009A5DED">
      <w:pPr>
        <w:pStyle w:val="Bezmezer"/>
        <w:spacing w:after="192"/>
        <w:rPr>
          <w:i/>
          <w:iCs/>
        </w:rPr>
      </w:pPr>
      <w:r w:rsidRPr="001251F8">
        <w:rPr>
          <w:i/>
          <w:iCs/>
        </w:rPr>
        <w:t>Vzhledem k probíhající krizi a absenci státní energetické koncepce musí Česko dělat kroky, které zajistí větší nezávislost i cenovou dostupnost.</w:t>
      </w:r>
    </w:p>
    <w:p w14:paraId="561F2D56" w14:textId="77777777" w:rsidR="001251F8" w:rsidRDefault="001251F8" w:rsidP="00E25925">
      <w:pPr>
        <w:spacing w:afterLines="160" w:after="384"/>
      </w:pPr>
    </w:p>
    <w:p w14:paraId="756DD595" w14:textId="19E2CC41" w:rsidR="000663DE" w:rsidRDefault="001251F8" w:rsidP="001251F8">
      <w:pPr>
        <w:spacing w:afterLines="160" w:after="384"/>
      </w:pPr>
      <w:r w:rsidRPr="001251F8">
        <w:t>Debata o cenách energií je patrná všude okolo nás – v průmyslu, v domácnostech, ve vládě. Jedná se o komplexní problém s ohledem na neefektivní trh, strategickou závislost, dopad na fungování ekonomiky a udržitelnost. Podle takzvaného progresivního scénáře, který počítá s koncem uhlí v Česku v roce 2033 a novým jaderným zdrojem o tři roky později, navíc začne potřeba dovozu elektřiny do Česka sílit už v roce 2025. Co to pro nás znamená?</w:t>
      </w:r>
    </w:p>
    <w:p w14:paraId="08AC5804" w14:textId="77777777" w:rsidR="001251F8" w:rsidRPr="001251F8" w:rsidRDefault="001251F8" w:rsidP="001251F8">
      <w:pPr>
        <w:spacing w:afterLines="160" w:after="384"/>
      </w:pPr>
      <w:r w:rsidRPr="001251F8">
        <w:t>Začátkem třetí dekády tohoto století bude Česká republika v případě progresivního scénáře z energetického hlediska importní zemí, stejně jako Německo nebo Polsko. To vše volá po evoluci stávajícího energetického modelu. Jedny z hlavních pilířů této změny jsou následující:</w:t>
      </w:r>
    </w:p>
    <w:p w14:paraId="1B87FC4B" w14:textId="77777777" w:rsidR="001251F8" w:rsidRPr="001251F8" w:rsidRDefault="001251F8" w:rsidP="001251F8">
      <w:pPr>
        <w:spacing w:afterLines="160" w:after="384"/>
      </w:pPr>
      <w:r w:rsidRPr="001251F8">
        <w:t>Decentralizace = komunitní sítě</w:t>
      </w:r>
    </w:p>
    <w:p w14:paraId="4AE68005" w14:textId="77777777" w:rsidR="001251F8" w:rsidRPr="001251F8" w:rsidRDefault="001251F8" w:rsidP="001251F8">
      <w:pPr>
        <w:spacing w:afterLines="160" w:after="384"/>
      </w:pPr>
      <w:r w:rsidRPr="001251F8">
        <w:t>Dynamika = flexibilita sítě</w:t>
      </w:r>
    </w:p>
    <w:p w14:paraId="07CA1131" w14:textId="77777777" w:rsidR="001251F8" w:rsidRPr="001251F8" w:rsidRDefault="001251F8" w:rsidP="001251F8">
      <w:pPr>
        <w:spacing w:afterLines="160" w:after="384"/>
      </w:pPr>
      <w:r w:rsidRPr="001251F8">
        <w:t>Digitalizace = inteligentní elektroměry a spotřebiče</w:t>
      </w:r>
    </w:p>
    <w:p w14:paraId="6E024250" w14:textId="77777777" w:rsidR="001251F8" w:rsidRPr="001251F8" w:rsidRDefault="001251F8" w:rsidP="001251F8">
      <w:pPr>
        <w:spacing w:afterLines="160" w:after="384"/>
      </w:pPr>
      <w:r w:rsidRPr="001251F8">
        <w:t>Dekarbonizace = udržitelné zdroje energie</w:t>
      </w:r>
    </w:p>
    <w:p w14:paraId="67B6FC22" w14:textId="77777777" w:rsidR="001251F8" w:rsidRPr="001251F8" w:rsidRDefault="001251F8" w:rsidP="001251F8">
      <w:pPr>
        <w:spacing w:afterLines="160" w:after="384"/>
        <w:rPr>
          <w:b/>
          <w:bCs/>
        </w:rPr>
      </w:pPr>
      <w:r w:rsidRPr="001251F8">
        <w:rPr>
          <w:b/>
          <w:bCs/>
        </w:rPr>
        <w:t>Decentralizace a komunitní sítě</w:t>
      </w:r>
    </w:p>
    <w:p w14:paraId="71F394F7" w14:textId="77777777" w:rsidR="001251F8" w:rsidRPr="001251F8" w:rsidRDefault="001251F8" w:rsidP="001251F8">
      <w:pPr>
        <w:spacing w:afterLines="160" w:after="384"/>
      </w:pPr>
      <w:r w:rsidRPr="001251F8">
        <w:t>Komunitní sítě umožňují subjektům nakupovat nebo dodávat elektřinu do sítě. Současná právní úprava počítala a vlastně stále počítá s tím, že subjekt je odběratelem energie, respektive jejím výrobcem, který je energetickou společností a má tedy příslušnou licenci.</w:t>
      </w:r>
    </w:p>
    <w:p w14:paraId="28A6C829" w14:textId="77777777" w:rsidR="001251F8" w:rsidRPr="001251F8" w:rsidRDefault="001251F8" w:rsidP="001251F8">
      <w:pPr>
        <w:spacing w:afterLines="160" w:after="384"/>
      </w:pPr>
    </w:p>
    <w:p w14:paraId="21598D43" w14:textId="77777777" w:rsidR="001251F8" w:rsidRPr="001251F8" w:rsidRDefault="001251F8" w:rsidP="001251F8">
      <w:pPr>
        <w:spacing w:afterLines="160" w:after="384"/>
      </w:pPr>
      <w:r w:rsidRPr="001251F8">
        <w:t>Se vznikem spotřebitele, respektive skupiny spotřebitelů, kteří si vyrábějí elektřinu primárně pro sebe, ale svůj přebytek chtějí někdy umístit do sítě a sdílet jej s dalšími zákazníky, však více než dvacet let starý energetický zákon nepočítá. Abychom mohli mluvit o komunitní energii, musí společná výroba splňovat několik požadavků.</w:t>
      </w:r>
    </w:p>
    <w:p w14:paraId="52109FA8" w14:textId="77777777" w:rsidR="001251F8" w:rsidRPr="001251F8" w:rsidRDefault="001251F8" w:rsidP="001251F8">
      <w:pPr>
        <w:spacing w:afterLines="160" w:after="384"/>
      </w:pPr>
      <w:r w:rsidRPr="001251F8">
        <w:t>Podle evropské směrnice o společných pravidlech pro vnitřní trh s elektřinou se do komunitní energetiky mohou zapojit jednotlivci, místní úřady a malé a střední podniky. Díky těmto podmínkám nemůže docházet ke zneužívání výhod plynoucích z účasti v energetické komunitě. Rozhodování uvnitř komunity je demokratické, žádný ze subjektů by ji neměl přímo kontrolovat. Jednotliví členové by se měli účastnit dobrovolně.</w:t>
      </w:r>
    </w:p>
    <w:p w14:paraId="48A5C10C" w14:textId="77777777" w:rsidR="001251F8" w:rsidRPr="001251F8" w:rsidRDefault="001251F8" w:rsidP="001251F8">
      <w:pPr>
        <w:spacing w:afterLines="160" w:after="384"/>
      </w:pPr>
      <w:r w:rsidRPr="001251F8">
        <w:t>Hlavním účelem komunit není vytvářet zisk, ale poskytovat environmentální, ekonomické nebo sociální výhody svým členům, akcionářům nebo místním oblastem, kde působí. Elektřinu vyrobenou komunitním zdrojem mohou členové prodávat do sítě, ale komunita ji pro tento účel primárně nevyrábí.</w:t>
      </w:r>
    </w:p>
    <w:p w14:paraId="07A8EACD" w14:textId="77777777" w:rsidR="001251F8" w:rsidRPr="001251F8" w:rsidRDefault="001251F8" w:rsidP="001251F8">
      <w:pPr>
        <w:spacing w:afterLines="160" w:after="384"/>
      </w:pPr>
      <w:r w:rsidRPr="001251F8">
        <w:t>Rozjezd energetické komunity je však zdlouhavý proces. Pokud chce obec pořídit například fotovoltaické panely na střeše kulturního domu, musí starosta nejprve získat licenci na výrobu elektřiny od Energetického regulačního úřadu.</w:t>
      </w:r>
    </w:p>
    <w:p w14:paraId="3C9C3988" w14:textId="77777777" w:rsidR="001251F8" w:rsidRPr="001251F8" w:rsidRDefault="001251F8" w:rsidP="001251F8">
      <w:pPr>
        <w:spacing w:afterLines="160" w:after="384"/>
      </w:pPr>
      <w:r w:rsidRPr="001251F8">
        <w:t>I přesto stávající komunity, které v současné době plní statut komunitních sítí, nejčastěji využívají solární energii jakožto hlavní zdroj komunitní energie. Některé obce instalují panely u škol, jiné dokonce vlastní pozemní fotovoltaické elektrárny. Větrnou energii využívají zatím jen tři obce v celé České republice, stejně vzácné jsou městské vodní elektrárny.</w:t>
      </w:r>
    </w:p>
    <w:p w14:paraId="59EA6413" w14:textId="77777777" w:rsidR="001251F8" w:rsidRPr="001251F8" w:rsidRDefault="001251F8" w:rsidP="001251F8">
      <w:pPr>
        <w:spacing w:afterLines="160" w:after="384"/>
        <w:rPr>
          <w:b/>
          <w:bCs/>
        </w:rPr>
      </w:pPr>
      <w:r w:rsidRPr="001251F8">
        <w:rPr>
          <w:b/>
          <w:bCs/>
        </w:rPr>
        <w:t>Dynamika a flexibilita sítě</w:t>
      </w:r>
    </w:p>
    <w:p w14:paraId="100E0519" w14:textId="77777777" w:rsidR="001251F8" w:rsidRPr="001251F8" w:rsidRDefault="001251F8" w:rsidP="001251F8">
      <w:pPr>
        <w:spacing w:afterLines="160" w:after="384"/>
      </w:pPr>
      <w:r w:rsidRPr="001251F8">
        <w:t>Na trhu je mnoho menších i větších firem, které produkty například vyrábějí nebo skladují. K provozu potřebují energii, a to v různém množství a v různou dobu. Agregátoři flexibility jim dokážou pomoci ovlivnit aktuální spotřebu, nebo naopak výrobu elektřiny. Tento potenciál se nazývá flexibilita sítě.</w:t>
      </w:r>
    </w:p>
    <w:p w14:paraId="0F870476" w14:textId="77777777" w:rsidR="001251F8" w:rsidRPr="001251F8" w:rsidRDefault="001251F8" w:rsidP="001251F8">
      <w:pPr>
        <w:spacing w:afterLines="160" w:after="384"/>
      </w:pPr>
      <w:r w:rsidRPr="001251F8">
        <w:t>Úlohou agregátorů flexibility je umožnit podnikům poslat tuto flexibilitu zpět do sítě a zpeněžit ji. Bez těchto subjektů by to nebylo možné – jsou spojovacím článkem mezi společností a provozovatelem přepravní soustavy. Agregátoři flexibility navíc hrají velmi důležitou roli v oblasti udržitelných zdrojů, které se vyznačují svou nestabilitou.</w:t>
      </w:r>
    </w:p>
    <w:p w14:paraId="2CC2A631" w14:textId="51C9A32A" w:rsidR="001251F8" w:rsidRPr="001251F8" w:rsidRDefault="001251F8" w:rsidP="001251F8">
      <w:pPr>
        <w:spacing w:afterLines="160" w:after="384"/>
      </w:pPr>
      <w:r w:rsidRPr="001251F8">
        <w:t xml:space="preserve">Například v Německu, které je v oblasti flexibility vyspělejší a je jedním z evropských šampionů ve větrné a solární energii, se v roce 2019 spotřebovalo 97 procent elektřiny z větrných turbín a fotovoltaiky. </w:t>
      </w:r>
      <w:r w:rsidRPr="001251F8">
        <w:lastRenderedPageBreak/>
        <w:t>Ztratila se pouze tři procenta, z toho naprostá většina ve formě nevyužité větrné energie během jednoho období, které bylo větrnější, než se předpokládalo.</w:t>
      </w:r>
    </w:p>
    <w:p w14:paraId="61A32D3E" w14:textId="77777777" w:rsidR="001251F8" w:rsidRPr="001251F8" w:rsidRDefault="001251F8" w:rsidP="001251F8">
      <w:pPr>
        <w:spacing w:afterLines="160" w:after="384"/>
      </w:pPr>
      <w:r w:rsidRPr="001251F8">
        <w:t>Flexibilita je tak ideálním produktem, který vede k vyšší udržitelnosti energetiky bez dotací a pomáhá posunout českou energetiku k větší nezávislosti, cenové dostupnosti a udržitelnosti.</w:t>
      </w:r>
    </w:p>
    <w:p w14:paraId="71143C19" w14:textId="77777777" w:rsidR="001251F8" w:rsidRPr="001251F8" w:rsidRDefault="001251F8" w:rsidP="001251F8">
      <w:pPr>
        <w:spacing w:afterLines="160" w:after="384"/>
      </w:pPr>
      <w:r w:rsidRPr="001251F8">
        <w:t>V České republice takzvané agregační služby zatím nabízejí pouze společnosti, které jsou licencovanými dodavateli elektřiny. Jedná se o integrované agregátory, což znamená, že musí dodávat energii i zákazníkům, a to celý proces značně komplikuje.</w:t>
      </w:r>
    </w:p>
    <w:p w14:paraId="6A151CEC" w14:textId="77777777" w:rsidR="001251F8" w:rsidRPr="001251F8" w:rsidRDefault="001251F8" w:rsidP="001251F8">
      <w:pPr>
        <w:spacing w:afterLines="160" w:after="384"/>
      </w:pPr>
      <w:r w:rsidRPr="001251F8">
        <w:t>Již delší dobu se proto mluví o takzvaných nezávislých agregátorech, které by mohly poskytovat agregační služby pomocí informačních technologií. Příchod těchto nezávislých agregátorů by zásadně změnil trh. V případě samostatného agregátora může samotnou dodávku elektřiny zajistit jiný subjekt. Reálné plány sice zatím cílí jen na firmy, ale agregační služby by se měly týkat i českých domácností. Domácnosti se v tuto chvíli nemohou zapojit a je otázkou let, kdy se tak stane.</w:t>
      </w:r>
    </w:p>
    <w:p w14:paraId="6A9C52B7" w14:textId="77777777" w:rsidR="001251F8" w:rsidRPr="001251F8" w:rsidRDefault="001251F8" w:rsidP="001251F8">
      <w:pPr>
        <w:spacing w:afterLines="160" w:after="384"/>
      </w:pPr>
      <w:r w:rsidRPr="001251F8">
        <w:t>Takzvaná komunitní energie má několik podob, nejdříve je však nutné provést celou řadu legislativních a technologických změn v domácnostech, následně jejich digitalizaci a instalaci chytrých řídicích systémů, jako jsou tepelná čerpadla, klimatizační jednotky nebo nabíjecí stanice pro elektromobily. Lze předpokládat, že každá domácnost bude jistě motivována nabídnout část tohoto výkonu/spotřeby v určitých časových obdobích flexibilitě.</w:t>
      </w:r>
    </w:p>
    <w:p w14:paraId="41DD2380" w14:textId="77777777" w:rsidR="001251F8" w:rsidRPr="001251F8" w:rsidRDefault="001251F8" w:rsidP="001251F8">
      <w:pPr>
        <w:spacing w:afterLines="160" w:after="384"/>
        <w:rPr>
          <w:b/>
          <w:bCs/>
        </w:rPr>
      </w:pPr>
      <w:r w:rsidRPr="001251F8">
        <w:rPr>
          <w:b/>
          <w:bCs/>
        </w:rPr>
        <w:t>Digitalizace a inteligentní elektroměry</w:t>
      </w:r>
    </w:p>
    <w:p w14:paraId="5BA7B778" w14:textId="77777777" w:rsidR="001251F8" w:rsidRPr="001251F8" w:rsidRDefault="001251F8" w:rsidP="001251F8">
      <w:pPr>
        <w:spacing w:afterLines="160" w:after="384"/>
      </w:pPr>
      <w:r w:rsidRPr="001251F8">
        <w:t>Současný vývoj velkoobchodních cen elektřiny a jejich strmý nárůst ukazuje, že potenciál pro výstavbu decentralizovaných zdrojů je velký, proto bychom již brzy doma mohli mít chytré čerpadlo nebo elektrokotel. Navíc nás u těchto zařízení nebude tolik zajímat, jestli ve dvě ráno nebo v pět odpoledne „spálí“ elektřinu, nebo zda ji využijí na ohřev vody. I zde se totiž díky průmyslovému počítači chytrý algoritmus postará o ekonomický provoz kotle. Základní bloky virtuálních elektráren se budou nadále zmenšovat.</w:t>
      </w:r>
    </w:p>
    <w:p w14:paraId="5ED494A9" w14:textId="77777777" w:rsidR="001251F8" w:rsidRPr="001251F8" w:rsidRDefault="001251F8" w:rsidP="001251F8">
      <w:pPr>
        <w:spacing w:afterLines="160" w:after="384"/>
      </w:pPr>
      <w:r w:rsidRPr="001251F8">
        <w:t>Poměrně zajímavým zdrojem flexibility je elektromobilita, kterou mobilní aplikace standardně využívají. Počet elektromobilů poroste, a pokud zůstane elektromobil v garáži, bude jedno, kdy se vůz nabije. Stanice pro elektromobily dnes umožňují i ​​obousměrný tok elektřiny. Autobaterie může teoreticky sloužit jako zdroj energie, kterou někdo využívá.</w:t>
      </w:r>
    </w:p>
    <w:p w14:paraId="73D3AB7C" w14:textId="77777777" w:rsidR="001251F8" w:rsidRPr="001251F8" w:rsidRDefault="001251F8" w:rsidP="001251F8">
      <w:pPr>
        <w:spacing w:afterLines="160" w:after="384"/>
      </w:pPr>
      <w:r w:rsidRPr="001251F8">
        <w:t>Česko se však bude muset posunout kupředu v oblasti digitalizace energií a využívání technologií chytrého měření. Pokrok v těchto oblastech povede k rozvoji vzájemné komunikace mezi zákazníky, obchodníky a subjekty odpovědnými za správu systému. Bez těchto řešení je vývoj konceptu aktivního zákazníka de facto nemožný.</w:t>
      </w:r>
    </w:p>
    <w:p w14:paraId="6FC4DC83" w14:textId="77777777" w:rsidR="001251F8" w:rsidRPr="001251F8" w:rsidRDefault="001251F8" w:rsidP="001251F8">
      <w:pPr>
        <w:spacing w:afterLines="160" w:after="384"/>
      </w:pPr>
      <w:r w:rsidRPr="001251F8">
        <w:lastRenderedPageBreak/>
        <w:t>Mezi nové klíčové prvky energetického trhu patří také dynamická struktura tarifů. Smlouvy s dynamickým stanovením ceny elektřiny a nástroje umožňující přizpůsobení poptávky nabídce (včetně akumulace elektřiny v odběrném místě pro její pozdější využití) povedou k většímu zájmu zákazníků o vnitrodenní trh.</w:t>
      </w:r>
    </w:p>
    <w:p w14:paraId="0A419290" w14:textId="77777777" w:rsidR="001251F8" w:rsidRPr="001251F8" w:rsidRDefault="001251F8" w:rsidP="001251F8">
      <w:pPr>
        <w:spacing w:afterLines="160" w:after="384"/>
        <w:rPr>
          <w:b/>
          <w:bCs/>
        </w:rPr>
      </w:pPr>
      <w:r w:rsidRPr="001251F8">
        <w:rPr>
          <w:b/>
          <w:bCs/>
        </w:rPr>
        <w:t>Dekarbonizace a udržitelné zdroje energie</w:t>
      </w:r>
    </w:p>
    <w:p w14:paraId="10A052B1" w14:textId="77777777" w:rsidR="001251F8" w:rsidRPr="001251F8" w:rsidRDefault="001251F8" w:rsidP="001251F8">
      <w:pPr>
        <w:spacing w:afterLines="160" w:after="384"/>
      </w:pPr>
      <w:r w:rsidRPr="001251F8">
        <w:t>Česko má největší poměr výroby elektřiny z uhlí na obyvatele v rámci celé Evropské unie. To stejné potom platí i pro instalovaný výkon v uhelných elektrárnách na osobu. Vzhledem k množství elektřiny vyrobené z uhlí se nelze divit, že uhelné elektrárny a teplárny se v Česku významným způsobem podílejí na celkových emisích skleníkových plynů napříč všemi sektory.</w:t>
      </w:r>
    </w:p>
    <w:p w14:paraId="6319DD29" w14:textId="77777777" w:rsidR="001251F8" w:rsidRPr="001251F8" w:rsidRDefault="001251F8" w:rsidP="001251F8">
      <w:pPr>
        <w:spacing w:afterLines="160" w:after="384"/>
      </w:pPr>
      <w:r w:rsidRPr="001251F8">
        <w:t>Kromě oxidu uhličitého jsou uhelné elektrárny zdrojem řady dalších znečišťujících látek, které způsobují významné škody nejen na životním prostředí, ale také na lidském zdraví. Starší studie Centra pro otázky životního prostředí při Univerzitě Karlově v Praze spočetla takto zásobené externí náklady na více než 50 miliard korun ročně (v cenách roku 2011). Ve výsledku jsou způsobené škody výrazně vyšší, než je například roční podpora obnovitelných zdrojů energie.</w:t>
      </w:r>
    </w:p>
    <w:p w14:paraId="11EC52EA" w14:textId="77777777" w:rsidR="001251F8" w:rsidRPr="001251F8" w:rsidRDefault="001251F8" w:rsidP="001251F8">
      <w:pPr>
        <w:spacing w:afterLines="160" w:after="384"/>
      </w:pPr>
      <w:r w:rsidRPr="001251F8">
        <w:t>Z pozice České republiky je tak potřeba, aby k útlumu uhelné energetiky docházelo hladce. S úplným koncem uhlí vědci počítají v letech 2033 až 2038. Tuzemská poptávka po elektřině se do roku 2050 zvýší na zhruba 90 až 110 terawatthodin (TWh) ze stávajících 70 TWh. Tento objem bude muset být zajištěn kombinací obnovitelných zdrojů a jádra. I proto je nesmírně důležitá plánovaná aktualizace státní energetické koncepce, která by měla vést k jasné strategii přechodu na udržitelné zdroje energií za pomoci jaderné energie, a to v podobě jaderných elektráren, nebo malých modulárních reaktorů.</w:t>
      </w:r>
    </w:p>
    <w:p w14:paraId="7AB12B6B" w14:textId="77777777" w:rsidR="001251F8" w:rsidRPr="001251F8" w:rsidRDefault="001251F8" w:rsidP="001251F8">
      <w:pPr>
        <w:spacing w:afterLines="160" w:after="384"/>
      </w:pPr>
      <w:r w:rsidRPr="001251F8">
        <w:t>Energetická koncepce založená na decentralizaci, zvýšené flexibilitě, inteligenci měřičů a na alternativních zdrojích je zcela jistě správnou cestou vpřed. Pro včasnou implementaci bude potřeba spolupráce privátního a veřejného sektoru a také využití principu takzvaných „sandboxů“ neboli malých segmentů ekonomiky sloužících k vyzkoušení plánovaných změn regulace.</w:t>
      </w:r>
    </w:p>
    <w:p w14:paraId="7B868A2A" w14:textId="77777777" w:rsidR="001251F8" w:rsidRPr="001251F8" w:rsidRDefault="001251F8" w:rsidP="001251F8">
      <w:pPr>
        <w:spacing w:afterLines="160" w:after="384"/>
      </w:pPr>
      <w:r w:rsidRPr="001251F8">
        <w:t>Již dnes však české podniky mohou začít jednat, a to skrze optimalizaci kontraktů neboli takzvané Power Purchase Agreements (PPA), případně prostřednictvím detailního monitoringu spotřeby energií vedoucího k nižší spotřebě. Zároveň se mohou začít připravovat na možnou legislativní změnu hledáním vhodných industriálních parků či vhodných prostředí pro instalaci zdrojů obnovitelných energií s cílem vytvoření industriálních energetických komunitních sítí.</w:t>
      </w:r>
    </w:p>
    <w:p w14:paraId="3F855F65" w14:textId="14D2991A" w:rsidR="001251F8" w:rsidRPr="001251F8" w:rsidRDefault="001251F8" w:rsidP="001251F8">
      <w:pPr>
        <w:spacing w:afterLines="160" w:after="384"/>
      </w:pPr>
      <w:r w:rsidRPr="001251F8">
        <w:t>Energetika se tak díky vysokým cenám a vlivem udržitelnosti dostává do povědomí veřejnosti. A i díky tomu lze očekávat technologický i společenský vývoj v tomto tradičním odvětví, podobně jako tomu bylo v minulosti v případě telekomunikací či bankovnictví. I přes tento očekávaný dynamický vývoj je však potřeba mít na paměti, že v energetice nejde vždy vše rychle.</w:t>
      </w:r>
    </w:p>
    <w:sectPr w:rsidR="001251F8" w:rsidRPr="001251F8" w:rsidSect="003006BF">
      <w:headerReference w:type="default" r:id="rId8"/>
      <w:type w:val="continuous"/>
      <w:pgSz w:w="11907" w:h="16840"/>
      <w:pgMar w:top="1701" w:right="1418" w:bottom="1418"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A25E50" w14:textId="77777777" w:rsidR="0065776B" w:rsidRDefault="0065776B">
      <w:pPr>
        <w:spacing w:after="192"/>
        <w:rPr>
          <w:rFonts w:ascii="Times New Roman" w:hAnsi="Times New Roman"/>
        </w:rPr>
      </w:pPr>
      <w:r>
        <w:rPr>
          <w:rFonts w:ascii="Times New Roman" w:hAnsi="Times New Roman"/>
        </w:rPr>
        <w:separator/>
      </w:r>
    </w:p>
  </w:endnote>
  <w:endnote w:type="continuationSeparator" w:id="0">
    <w:p w14:paraId="735E87AC" w14:textId="77777777" w:rsidR="0065776B" w:rsidRDefault="0065776B">
      <w:pPr>
        <w:spacing w:after="192"/>
        <w:rPr>
          <w:rFonts w:ascii="Times New Roman" w:hAnsi="Times New Roman"/>
        </w:rPr>
      </w:pPr>
      <w:r>
        <w:rPr>
          <w:rFonts w:ascii="Times New Roman" w:hAnsi="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ADCB7" w14:textId="77777777" w:rsidR="0065776B" w:rsidRDefault="0065776B">
      <w:pPr>
        <w:spacing w:after="192"/>
        <w:rPr>
          <w:rFonts w:ascii="Times New Roman" w:hAnsi="Times New Roman"/>
        </w:rPr>
      </w:pPr>
      <w:r>
        <w:rPr>
          <w:rFonts w:ascii="Times New Roman" w:hAnsi="Times New Roman"/>
        </w:rPr>
        <w:separator/>
      </w:r>
    </w:p>
  </w:footnote>
  <w:footnote w:type="continuationSeparator" w:id="0">
    <w:p w14:paraId="39560832" w14:textId="77777777" w:rsidR="0065776B" w:rsidRDefault="0065776B">
      <w:pPr>
        <w:spacing w:after="192"/>
        <w:rPr>
          <w:rFonts w:ascii="Times New Roman" w:hAnsi="Times New Roman"/>
        </w:rPr>
      </w:pPr>
      <w:r>
        <w:rPr>
          <w:rFonts w:ascii="Times New Roman" w:hAnsi="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843" w:type="dxa"/>
      <w:tblBorders>
        <w:top w:val="dotted" w:sz="4" w:space="0" w:color="FFFFFF"/>
        <w:left w:val="dotted" w:sz="4" w:space="0" w:color="FFFFFF"/>
        <w:bottom w:val="dotted" w:sz="4" w:space="0" w:color="FFFFFF"/>
        <w:right w:val="dotted" w:sz="4" w:space="0" w:color="FFFFFF"/>
        <w:insideV w:val="dotted" w:sz="4" w:space="0" w:color="FFFFFF"/>
      </w:tblBorders>
      <w:tblLayout w:type="fixed"/>
      <w:tblLook w:val="0000" w:firstRow="0" w:lastRow="0" w:firstColumn="0" w:lastColumn="0" w:noHBand="0" w:noVBand="0"/>
    </w:tblPr>
    <w:tblGrid>
      <w:gridCol w:w="5973"/>
      <w:gridCol w:w="4870"/>
    </w:tblGrid>
    <w:tr w:rsidR="002132CC" w14:paraId="1C3F7EDA" w14:textId="77777777" w:rsidTr="00DF79C4">
      <w:trPr>
        <w:trHeight w:val="1979"/>
      </w:trPr>
      <w:tc>
        <w:tcPr>
          <w:tcW w:w="5973" w:type="dxa"/>
        </w:tcPr>
        <w:p w14:paraId="3757F130" w14:textId="77777777" w:rsidR="002132CC" w:rsidRDefault="00BF1F3E">
          <w:pPr>
            <w:pStyle w:val="Zhlav"/>
            <w:spacing w:before="60" w:after="192"/>
            <w:rPr>
              <w:rFonts w:ascii="Times New Roman" w:hAnsi="Times New Roman"/>
            </w:rPr>
          </w:pPr>
          <w:r>
            <w:drawing>
              <wp:anchor distT="0" distB="0" distL="114300" distR="114300" simplePos="0" relativeHeight="251657728" behindDoc="1" locked="0" layoutInCell="1" allowOverlap="1" wp14:anchorId="5DFE9B29" wp14:editId="0B9368A3">
                <wp:simplePos x="0" y="0"/>
                <wp:positionH relativeFrom="column">
                  <wp:posOffset>-2463165</wp:posOffset>
                </wp:positionH>
                <wp:positionV relativeFrom="paragraph">
                  <wp:posOffset>635</wp:posOffset>
                </wp:positionV>
                <wp:extent cx="2187575" cy="1038225"/>
                <wp:effectExtent l="0" t="0" r="0" b="0"/>
                <wp:wrapTight wrapText="bothSides">
                  <wp:wrapPolygon edited="0">
                    <wp:start x="0" y="793"/>
                    <wp:lineTo x="0" y="21402"/>
                    <wp:lineTo x="21443" y="21402"/>
                    <wp:lineTo x="21443" y="793"/>
                    <wp:lineTo x="0" y="793"/>
                  </wp:wrapPolygon>
                </wp:wrapTight>
                <wp:docPr id="3" name="Obrázek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ázek 1"/>
                        <pic:cNvPicPr>
                          <a:picLocks/>
                        </pic:cNvPicPr>
                      </pic:nvPicPr>
                      <pic:blipFill>
                        <a:blip r:embed="rId1">
                          <a:extLst>
                            <a:ext uri="{28A0092B-C50C-407E-A947-70E740481C1C}">
                              <a14:useLocalDpi xmlns:a14="http://schemas.microsoft.com/office/drawing/2010/main" val="0"/>
                            </a:ext>
                          </a:extLst>
                        </a:blip>
                        <a:srcRect t="-6863"/>
                        <a:stretch>
                          <a:fillRect/>
                        </a:stretch>
                      </pic:blipFill>
                      <pic:spPr bwMode="auto">
                        <a:xfrm>
                          <a:off x="0" y="0"/>
                          <a:ext cx="2187575" cy="1038225"/>
                        </a:xfrm>
                        <a:prstGeom prst="rect">
                          <a:avLst/>
                        </a:prstGeom>
                        <a:noFill/>
                      </pic:spPr>
                    </pic:pic>
                  </a:graphicData>
                </a:graphic>
                <wp14:sizeRelH relativeFrom="page">
                  <wp14:pctWidth>0</wp14:pctWidth>
                </wp14:sizeRelH>
                <wp14:sizeRelV relativeFrom="page">
                  <wp14:pctHeight>0</wp14:pctHeight>
                </wp14:sizeRelV>
              </wp:anchor>
            </w:drawing>
          </w:r>
        </w:p>
      </w:tc>
      <w:tc>
        <w:tcPr>
          <w:tcW w:w="4870" w:type="dxa"/>
        </w:tcPr>
        <w:p w14:paraId="43CCA0BE" w14:textId="77777777" w:rsidR="002132CC" w:rsidRPr="000663DE" w:rsidRDefault="002132CC" w:rsidP="000663DE">
          <w:pPr>
            <w:spacing w:after="192"/>
          </w:pPr>
        </w:p>
      </w:tc>
    </w:tr>
  </w:tbl>
  <w:p w14:paraId="4AF24544" w14:textId="77777777" w:rsidR="002132CC" w:rsidRDefault="002132CC">
    <w:pPr>
      <w:pStyle w:val="Zhlav"/>
      <w:spacing w:after="192"/>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128AB"/>
    <w:multiLevelType w:val="singleLevel"/>
    <w:tmpl w:val="08090005"/>
    <w:lvl w:ilvl="0">
      <w:start w:val="1"/>
      <w:numFmt w:val="bullet"/>
      <w:lvlText w:val=""/>
      <w:lvlJc w:val="left"/>
      <w:pPr>
        <w:tabs>
          <w:tab w:val="num" w:pos="360"/>
        </w:tabs>
        <w:ind w:left="360" w:hanging="360"/>
      </w:pPr>
      <w:rPr>
        <w:rFonts w:ascii="Wingdings" w:hAnsi="Wingdings" w:cs="Times New Roman" w:hint="default"/>
      </w:rPr>
    </w:lvl>
  </w:abstractNum>
  <w:abstractNum w:abstractNumId="1" w15:restartNumberingAfterBreak="0">
    <w:nsid w:val="0B5C7C89"/>
    <w:multiLevelType w:val="hybridMultilevel"/>
    <w:tmpl w:val="D6AC098A"/>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2" w15:restartNumberingAfterBreak="0">
    <w:nsid w:val="0C9437FF"/>
    <w:multiLevelType w:val="hybridMultilevel"/>
    <w:tmpl w:val="0DD2990E"/>
    <w:lvl w:ilvl="0" w:tplc="FB7C63CC">
      <w:start w:val="5"/>
      <w:numFmt w:val="bullet"/>
      <w:lvlText w:val=""/>
      <w:lvlJc w:val="left"/>
      <w:pPr>
        <w:ind w:left="720" w:hanging="360"/>
      </w:pPr>
      <w:rPr>
        <w:rFonts w:ascii="Symbol" w:eastAsia="Times New Roman"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Times New Roman" w:hint="default"/>
      </w:rPr>
    </w:lvl>
    <w:lvl w:ilvl="3" w:tplc="04050001">
      <w:start w:val="1"/>
      <w:numFmt w:val="bullet"/>
      <w:lvlText w:val=""/>
      <w:lvlJc w:val="left"/>
      <w:pPr>
        <w:ind w:left="2880" w:hanging="360"/>
      </w:pPr>
      <w:rPr>
        <w:rFonts w:ascii="Symbol" w:hAnsi="Symbol" w:cs="Times New Roman"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Times New Roman" w:hint="default"/>
      </w:rPr>
    </w:lvl>
    <w:lvl w:ilvl="6" w:tplc="04050001">
      <w:start w:val="1"/>
      <w:numFmt w:val="bullet"/>
      <w:lvlText w:val=""/>
      <w:lvlJc w:val="left"/>
      <w:pPr>
        <w:ind w:left="5040" w:hanging="360"/>
      </w:pPr>
      <w:rPr>
        <w:rFonts w:ascii="Symbol" w:hAnsi="Symbol" w:cs="Times New Roman"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Times New Roman" w:hint="default"/>
      </w:rPr>
    </w:lvl>
  </w:abstractNum>
  <w:abstractNum w:abstractNumId="3" w15:restartNumberingAfterBreak="0">
    <w:nsid w:val="0D9C5ADB"/>
    <w:multiLevelType w:val="hybridMultilevel"/>
    <w:tmpl w:val="315E28EA"/>
    <w:lvl w:ilvl="0" w:tplc="04050001">
      <w:start w:val="1"/>
      <w:numFmt w:val="bullet"/>
      <w:lvlText w:val=""/>
      <w:lvlJc w:val="left"/>
      <w:pPr>
        <w:ind w:left="360" w:hanging="360"/>
      </w:pPr>
      <w:rPr>
        <w:rFonts w:ascii="Symbol" w:hAnsi="Symbol" w:cs="Times New Roman"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cs="Times New Roman" w:hint="default"/>
      </w:rPr>
    </w:lvl>
    <w:lvl w:ilvl="3" w:tplc="04050001">
      <w:start w:val="1"/>
      <w:numFmt w:val="bullet"/>
      <w:lvlText w:val=""/>
      <w:lvlJc w:val="left"/>
      <w:pPr>
        <w:ind w:left="2520" w:hanging="360"/>
      </w:pPr>
      <w:rPr>
        <w:rFonts w:ascii="Symbol" w:hAnsi="Symbol" w:cs="Times New Roman"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cs="Times New Roman" w:hint="default"/>
      </w:rPr>
    </w:lvl>
    <w:lvl w:ilvl="6" w:tplc="04050001">
      <w:start w:val="1"/>
      <w:numFmt w:val="bullet"/>
      <w:lvlText w:val=""/>
      <w:lvlJc w:val="left"/>
      <w:pPr>
        <w:ind w:left="4680" w:hanging="360"/>
      </w:pPr>
      <w:rPr>
        <w:rFonts w:ascii="Symbol" w:hAnsi="Symbol" w:cs="Times New Roman"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cs="Times New Roman" w:hint="default"/>
      </w:rPr>
    </w:lvl>
  </w:abstractNum>
  <w:abstractNum w:abstractNumId="4" w15:restartNumberingAfterBreak="0">
    <w:nsid w:val="0DE961E1"/>
    <w:multiLevelType w:val="multilevel"/>
    <w:tmpl w:val="8C620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5901E4"/>
    <w:multiLevelType w:val="hybridMultilevel"/>
    <w:tmpl w:val="21762D4C"/>
    <w:lvl w:ilvl="0" w:tplc="04090001">
      <w:start w:val="1"/>
      <w:numFmt w:val="bullet"/>
      <w:lvlText w:val=""/>
      <w:lvlJc w:val="left"/>
      <w:pPr>
        <w:ind w:left="1080" w:hanging="360"/>
      </w:pPr>
      <w:rPr>
        <w:rFonts w:ascii="Symbol" w:hAnsi="Symbol"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Times New Roman" w:hint="default"/>
      </w:rPr>
    </w:lvl>
    <w:lvl w:ilvl="3" w:tplc="04090001">
      <w:start w:val="1"/>
      <w:numFmt w:val="bullet"/>
      <w:lvlText w:val=""/>
      <w:lvlJc w:val="left"/>
      <w:pPr>
        <w:ind w:left="3240" w:hanging="360"/>
      </w:pPr>
      <w:rPr>
        <w:rFonts w:ascii="Symbol" w:hAnsi="Symbol" w:cs="Times New Roman"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Times New Roman" w:hint="default"/>
      </w:rPr>
    </w:lvl>
    <w:lvl w:ilvl="6" w:tplc="04090001">
      <w:start w:val="1"/>
      <w:numFmt w:val="bullet"/>
      <w:lvlText w:val=""/>
      <w:lvlJc w:val="left"/>
      <w:pPr>
        <w:ind w:left="5400" w:hanging="360"/>
      </w:pPr>
      <w:rPr>
        <w:rFonts w:ascii="Symbol" w:hAnsi="Symbol" w:cs="Times New Roman"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Times New Roman" w:hint="default"/>
      </w:rPr>
    </w:lvl>
  </w:abstractNum>
  <w:abstractNum w:abstractNumId="6" w15:restartNumberingAfterBreak="0">
    <w:nsid w:val="1C202BBE"/>
    <w:multiLevelType w:val="hybridMultilevel"/>
    <w:tmpl w:val="86143E16"/>
    <w:lvl w:ilvl="0" w:tplc="04050001">
      <w:start w:val="1"/>
      <w:numFmt w:val="bullet"/>
      <w:lvlText w:val=""/>
      <w:lvlJc w:val="left"/>
      <w:pPr>
        <w:ind w:left="72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7" w15:restartNumberingAfterBreak="0">
    <w:nsid w:val="29EE5719"/>
    <w:multiLevelType w:val="hybridMultilevel"/>
    <w:tmpl w:val="3266E120"/>
    <w:lvl w:ilvl="0" w:tplc="04050001">
      <w:start w:val="1"/>
      <w:numFmt w:val="bullet"/>
      <w:lvlText w:val=""/>
      <w:lvlJc w:val="left"/>
      <w:pPr>
        <w:ind w:left="720" w:hanging="360"/>
      </w:pPr>
      <w:rPr>
        <w:rFonts w:ascii="Symbol" w:hAnsi="Symbol"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Times New Roman" w:hint="default"/>
      </w:rPr>
    </w:lvl>
    <w:lvl w:ilvl="3" w:tplc="04050001">
      <w:start w:val="1"/>
      <w:numFmt w:val="bullet"/>
      <w:lvlText w:val=""/>
      <w:lvlJc w:val="left"/>
      <w:pPr>
        <w:ind w:left="2880" w:hanging="360"/>
      </w:pPr>
      <w:rPr>
        <w:rFonts w:ascii="Symbol" w:hAnsi="Symbol" w:cs="Times New Roman"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Times New Roman" w:hint="default"/>
      </w:rPr>
    </w:lvl>
    <w:lvl w:ilvl="6" w:tplc="04050001">
      <w:start w:val="1"/>
      <w:numFmt w:val="bullet"/>
      <w:lvlText w:val=""/>
      <w:lvlJc w:val="left"/>
      <w:pPr>
        <w:ind w:left="5040" w:hanging="360"/>
      </w:pPr>
      <w:rPr>
        <w:rFonts w:ascii="Symbol" w:hAnsi="Symbol" w:cs="Times New Roman"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Times New Roman" w:hint="default"/>
      </w:rPr>
    </w:lvl>
  </w:abstractNum>
  <w:abstractNum w:abstractNumId="8" w15:restartNumberingAfterBreak="0">
    <w:nsid w:val="31C3335C"/>
    <w:multiLevelType w:val="hybridMultilevel"/>
    <w:tmpl w:val="C6482AFA"/>
    <w:lvl w:ilvl="0" w:tplc="B65C9F1E">
      <w:start w:val="3"/>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33447F91"/>
    <w:multiLevelType w:val="hybridMultilevel"/>
    <w:tmpl w:val="6E4CC458"/>
    <w:lvl w:ilvl="0" w:tplc="E708D6E4">
      <w:start w:val="1"/>
      <w:numFmt w:val="bullet"/>
      <w:lvlText w:val=""/>
      <w:lvlJc w:val="left"/>
      <w:pPr>
        <w:ind w:left="360" w:hanging="360"/>
      </w:pPr>
      <w:rPr>
        <w:rFonts w:ascii="Symbol" w:hAnsi="Symbol" w:cs="Times New Roman"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cs="Times New Roman" w:hint="default"/>
      </w:rPr>
    </w:lvl>
    <w:lvl w:ilvl="3" w:tplc="04050001">
      <w:start w:val="1"/>
      <w:numFmt w:val="bullet"/>
      <w:lvlText w:val=""/>
      <w:lvlJc w:val="left"/>
      <w:pPr>
        <w:ind w:left="2520" w:hanging="360"/>
      </w:pPr>
      <w:rPr>
        <w:rFonts w:ascii="Symbol" w:hAnsi="Symbol" w:cs="Times New Roman"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cs="Times New Roman" w:hint="default"/>
      </w:rPr>
    </w:lvl>
    <w:lvl w:ilvl="6" w:tplc="04050001">
      <w:start w:val="1"/>
      <w:numFmt w:val="bullet"/>
      <w:lvlText w:val=""/>
      <w:lvlJc w:val="left"/>
      <w:pPr>
        <w:ind w:left="4680" w:hanging="360"/>
      </w:pPr>
      <w:rPr>
        <w:rFonts w:ascii="Symbol" w:hAnsi="Symbol" w:cs="Times New Roman"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cs="Times New Roman" w:hint="default"/>
      </w:rPr>
    </w:lvl>
  </w:abstractNum>
  <w:abstractNum w:abstractNumId="10" w15:restartNumberingAfterBreak="0">
    <w:nsid w:val="36715195"/>
    <w:multiLevelType w:val="hybridMultilevel"/>
    <w:tmpl w:val="0E1E11D6"/>
    <w:lvl w:ilvl="0" w:tplc="04090001">
      <w:start w:val="1"/>
      <w:numFmt w:val="bullet"/>
      <w:lvlText w:val=""/>
      <w:lvlJc w:val="left"/>
      <w:pPr>
        <w:ind w:left="360" w:hanging="360"/>
      </w:pPr>
      <w:rPr>
        <w:rFonts w:ascii="Symbol" w:hAnsi="Symbol"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Times New Roman" w:hint="default"/>
      </w:rPr>
    </w:lvl>
    <w:lvl w:ilvl="3" w:tplc="04090001">
      <w:start w:val="1"/>
      <w:numFmt w:val="bullet"/>
      <w:lvlText w:val=""/>
      <w:lvlJc w:val="left"/>
      <w:pPr>
        <w:ind w:left="2520" w:hanging="360"/>
      </w:pPr>
      <w:rPr>
        <w:rFonts w:ascii="Symbol" w:hAnsi="Symbol" w:cs="Times New Roman"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Times New Roman" w:hint="default"/>
      </w:rPr>
    </w:lvl>
    <w:lvl w:ilvl="6" w:tplc="04090001">
      <w:start w:val="1"/>
      <w:numFmt w:val="bullet"/>
      <w:lvlText w:val=""/>
      <w:lvlJc w:val="left"/>
      <w:pPr>
        <w:ind w:left="4680" w:hanging="360"/>
      </w:pPr>
      <w:rPr>
        <w:rFonts w:ascii="Symbol" w:hAnsi="Symbol" w:cs="Times New Roman"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Times New Roman" w:hint="default"/>
      </w:rPr>
    </w:lvl>
  </w:abstractNum>
  <w:abstractNum w:abstractNumId="11" w15:restartNumberingAfterBreak="0">
    <w:nsid w:val="373235F5"/>
    <w:multiLevelType w:val="hybridMultilevel"/>
    <w:tmpl w:val="7A3E3818"/>
    <w:lvl w:ilvl="0" w:tplc="04050001">
      <w:start w:val="1"/>
      <w:numFmt w:val="bullet"/>
      <w:lvlText w:val=""/>
      <w:lvlJc w:val="left"/>
      <w:pPr>
        <w:ind w:left="720" w:hanging="360"/>
      </w:pPr>
      <w:rPr>
        <w:rFonts w:ascii="Symbol" w:hAnsi="Symbol"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Times New Roman" w:hint="default"/>
      </w:rPr>
    </w:lvl>
    <w:lvl w:ilvl="3" w:tplc="04050001">
      <w:start w:val="1"/>
      <w:numFmt w:val="bullet"/>
      <w:lvlText w:val=""/>
      <w:lvlJc w:val="left"/>
      <w:pPr>
        <w:ind w:left="2880" w:hanging="360"/>
      </w:pPr>
      <w:rPr>
        <w:rFonts w:ascii="Symbol" w:hAnsi="Symbol" w:cs="Times New Roman"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Times New Roman" w:hint="default"/>
      </w:rPr>
    </w:lvl>
    <w:lvl w:ilvl="6" w:tplc="04050001">
      <w:start w:val="1"/>
      <w:numFmt w:val="bullet"/>
      <w:lvlText w:val=""/>
      <w:lvlJc w:val="left"/>
      <w:pPr>
        <w:ind w:left="5040" w:hanging="360"/>
      </w:pPr>
      <w:rPr>
        <w:rFonts w:ascii="Symbol" w:hAnsi="Symbol" w:cs="Times New Roman"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Times New Roman" w:hint="default"/>
      </w:rPr>
    </w:lvl>
  </w:abstractNum>
  <w:abstractNum w:abstractNumId="12" w15:restartNumberingAfterBreak="0">
    <w:nsid w:val="426F4EC9"/>
    <w:multiLevelType w:val="hybridMultilevel"/>
    <w:tmpl w:val="A1DAAB3E"/>
    <w:lvl w:ilvl="0" w:tplc="C83ACB88">
      <w:start w:val="9"/>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42DF29D8"/>
    <w:multiLevelType w:val="hybridMultilevel"/>
    <w:tmpl w:val="14045964"/>
    <w:lvl w:ilvl="0" w:tplc="04050001">
      <w:start w:val="1"/>
      <w:numFmt w:val="bullet"/>
      <w:lvlText w:val=""/>
      <w:lvlJc w:val="left"/>
      <w:pPr>
        <w:ind w:left="720" w:hanging="360"/>
      </w:pPr>
      <w:rPr>
        <w:rFonts w:ascii="Symbol" w:hAnsi="Symbol"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Times New Roman" w:hint="default"/>
      </w:rPr>
    </w:lvl>
    <w:lvl w:ilvl="3" w:tplc="04050001">
      <w:start w:val="1"/>
      <w:numFmt w:val="bullet"/>
      <w:lvlText w:val=""/>
      <w:lvlJc w:val="left"/>
      <w:pPr>
        <w:ind w:left="2880" w:hanging="360"/>
      </w:pPr>
      <w:rPr>
        <w:rFonts w:ascii="Symbol" w:hAnsi="Symbol" w:cs="Times New Roman"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Times New Roman" w:hint="default"/>
      </w:rPr>
    </w:lvl>
    <w:lvl w:ilvl="6" w:tplc="04050001">
      <w:start w:val="1"/>
      <w:numFmt w:val="bullet"/>
      <w:lvlText w:val=""/>
      <w:lvlJc w:val="left"/>
      <w:pPr>
        <w:ind w:left="5040" w:hanging="360"/>
      </w:pPr>
      <w:rPr>
        <w:rFonts w:ascii="Symbol" w:hAnsi="Symbol" w:cs="Times New Roman"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Times New Roman" w:hint="default"/>
      </w:rPr>
    </w:lvl>
  </w:abstractNum>
  <w:abstractNum w:abstractNumId="14" w15:restartNumberingAfterBreak="0">
    <w:nsid w:val="487579BC"/>
    <w:multiLevelType w:val="hybridMultilevel"/>
    <w:tmpl w:val="5B82F634"/>
    <w:lvl w:ilvl="0" w:tplc="E31679F6">
      <w:start w:val="3"/>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5C87794E"/>
    <w:multiLevelType w:val="hybridMultilevel"/>
    <w:tmpl w:val="CD3C2D64"/>
    <w:lvl w:ilvl="0" w:tplc="04090001">
      <w:start w:val="1"/>
      <w:numFmt w:val="bullet"/>
      <w:lvlText w:val=""/>
      <w:lvlJc w:val="left"/>
      <w:pPr>
        <w:ind w:left="1080" w:hanging="360"/>
      </w:pPr>
      <w:rPr>
        <w:rFonts w:ascii="Symbol" w:hAnsi="Symbol" w:cs="Times New Roman" w:hint="default"/>
      </w:rPr>
    </w:lvl>
    <w:lvl w:ilvl="1" w:tplc="04090019">
      <w:start w:val="1"/>
      <w:numFmt w:val="lowerLetter"/>
      <w:lvlText w:val="%2."/>
      <w:lvlJc w:val="left"/>
      <w:pPr>
        <w:ind w:left="1800" w:hanging="360"/>
      </w:pPr>
      <w:rPr>
        <w:rFonts w:ascii="Times New Roman" w:hAnsi="Times New Roman" w:cs="Times New Roman"/>
      </w:rPr>
    </w:lvl>
    <w:lvl w:ilvl="2" w:tplc="0409001B">
      <w:start w:val="1"/>
      <w:numFmt w:val="lowerRoman"/>
      <w:lvlText w:val="%3."/>
      <w:lvlJc w:val="right"/>
      <w:pPr>
        <w:ind w:left="2520" w:hanging="180"/>
      </w:pPr>
      <w:rPr>
        <w:rFonts w:ascii="Times New Roman" w:hAnsi="Times New Roman" w:cs="Times New Roman"/>
      </w:rPr>
    </w:lvl>
    <w:lvl w:ilvl="3" w:tplc="0409000F">
      <w:start w:val="1"/>
      <w:numFmt w:val="decimal"/>
      <w:lvlText w:val="%4."/>
      <w:lvlJc w:val="left"/>
      <w:pPr>
        <w:ind w:left="3240" w:hanging="360"/>
      </w:pPr>
      <w:rPr>
        <w:rFonts w:ascii="Times New Roman" w:hAnsi="Times New Roman" w:cs="Times New Roman"/>
      </w:rPr>
    </w:lvl>
    <w:lvl w:ilvl="4" w:tplc="04090019">
      <w:start w:val="1"/>
      <w:numFmt w:val="lowerLetter"/>
      <w:lvlText w:val="%5."/>
      <w:lvlJc w:val="left"/>
      <w:pPr>
        <w:ind w:left="3960" w:hanging="360"/>
      </w:pPr>
      <w:rPr>
        <w:rFonts w:ascii="Times New Roman" w:hAnsi="Times New Roman" w:cs="Times New Roman"/>
      </w:rPr>
    </w:lvl>
    <w:lvl w:ilvl="5" w:tplc="0409001B">
      <w:start w:val="1"/>
      <w:numFmt w:val="lowerRoman"/>
      <w:lvlText w:val="%6."/>
      <w:lvlJc w:val="right"/>
      <w:pPr>
        <w:ind w:left="4680" w:hanging="180"/>
      </w:pPr>
      <w:rPr>
        <w:rFonts w:ascii="Times New Roman" w:hAnsi="Times New Roman" w:cs="Times New Roman"/>
      </w:rPr>
    </w:lvl>
    <w:lvl w:ilvl="6" w:tplc="0409000F">
      <w:start w:val="1"/>
      <w:numFmt w:val="decimal"/>
      <w:lvlText w:val="%7."/>
      <w:lvlJc w:val="left"/>
      <w:pPr>
        <w:ind w:left="5400" w:hanging="360"/>
      </w:pPr>
      <w:rPr>
        <w:rFonts w:ascii="Times New Roman" w:hAnsi="Times New Roman" w:cs="Times New Roman"/>
      </w:rPr>
    </w:lvl>
    <w:lvl w:ilvl="7" w:tplc="04090019">
      <w:start w:val="1"/>
      <w:numFmt w:val="lowerLetter"/>
      <w:lvlText w:val="%8."/>
      <w:lvlJc w:val="left"/>
      <w:pPr>
        <w:ind w:left="6120" w:hanging="360"/>
      </w:pPr>
      <w:rPr>
        <w:rFonts w:ascii="Times New Roman" w:hAnsi="Times New Roman" w:cs="Times New Roman"/>
      </w:rPr>
    </w:lvl>
    <w:lvl w:ilvl="8" w:tplc="0409001B">
      <w:start w:val="1"/>
      <w:numFmt w:val="lowerRoman"/>
      <w:lvlText w:val="%9."/>
      <w:lvlJc w:val="right"/>
      <w:pPr>
        <w:ind w:left="6840" w:hanging="180"/>
      </w:pPr>
      <w:rPr>
        <w:rFonts w:ascii="Times New Roman" w:hAnsi="Times New Roman" w:cs="Times New Roman"/>
      </w:rPr>
    </w:lvl>
  </w:abstractNum>
  <w:abstractNum w:abstractNumId="16" w15:restartNumberingAfterBreak="0">
    <w:nsid w:val="63673F3B"/>
    <w:multiLevelType w:val="hybridMultilevel"/>
    <w:tmpl w:val="0AF6C7FE"/>
    <w:lvl w:ilvl="0" w:tplc="E708D6E4">
      <w:start w:val="1"/>
      <w:numFmt w:val="bullet"/>
      <w:lvlText w:val=""/>
      <w:lvlJc w:val="left"/>
      <w:pPr>
        <w:ind w:left="360" w:hanging="360"/>
      </w:pPr>
      <w:rPr>
        <w:rFonts w:ascii="Symbol" w:hAnsi="Symbol" w:cs="Times New Roman"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cs="Times New Roman" w:hint="default"/>
      </w:rPr>
    </w:lvl>
    <w:lvl w:ilvl="3" w:tplc="04050001">
      <w:start w:val="1"/>
      <w:numFmt w:val="bullet"/>
      <w:lvlText w:val=""/>
      <w:lvlJc w:val="left"/>
      <w:pPr>
        <w:ind w:left="2520" w:hanging="360"/>
      </w:pPr>
      <w:rPr>
        <w:rFonts w:ascii="Symbol" w:hAnsi="Symbol" w:cs="Times New Roman"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cs="Times New Roman" w:hint="default"/>
      </w:rPr>
    </w:lvl>
    <w:lvl w:ilvl="6" w:tplc="04050001">
      <w:start w:val="1"/>
      <w:numFmt w:val="bullet"/>
      <w:lvlText w:val=""/>
      <w:lvlJc w:val="left"/>
      <w:pPr>
        <w:ind w:left="4680" w:hanging="360"/>
      </w:pPr>
      <w:rPr>
        <w:rFonts w:ascii="Symbol" w:hAnsi="Symbol" w:cs="Times New Roman"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cs="Times New Roman" w:hint="default"/>
      </w:rPr>
    </w:lvl>
  </w:abstractNum>
  <w:abstractNum w:abstractNumId="17" w15:restartNumberingAfterBreak="0">
    <w:nsid w:val="6439383B"/>
    <w:multiLevelType w:val="hybridMultilevel"/>
    <w:tmpl w:val="CEEE00A8"/>
    <w:lvl w:ilvl="0" w:tplc="04050001">
      <w:start w:val="1"/>
      <w:numFmt w:val="bullet"/>
      <w:lvlText w:val=""/>
      <w:lvlJc w:val="left"/>
      <w:pPr>
        <w:ind w:left="144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18" w15:restartNumberingAfterBreak="0">
    <w:nsid w:val="68C52C16"/>
    <w:multiLevelType w:val="hybridMultilevel"/>
    <w:tmpl w:val="A9189602"/>
    <w:lvl w:ilvl="0" w:tplc="04050001">
      <w:start w:val="1"/>
      <w:numFmt w:val="bullet"/>
      <w:lvlText w:val=""/>
      <w:lvlJc w:val="left"/>
      <w:pPr>
        <w:ind w:left="1440" w:hanging="360"/>
      </w:pPr>
      <w:rPr>
        <w:rFonts w:ascii="Symbol" w:hAnsi="Symbol" w:hint="default"/>
      </w:rPr>
    </w:lvl>
    <w:lvl w:ilvl="1" w:tplc="04050003">
      <w:start w:val="1"/>
      <w:numFmt w:val="bullet"/>
      <w:lvlText w:val="o"/>
      <w:lvlJc w:val="left"/>
      <w:pPr>
        <w:ind w:left="1778" w:hanging="360"/>
      </w:pPr>
      <w:rPr>
        <w:rFonts w:ascii="Courier New" w:hAnsi="Courier New" w:cs="Courier New" w:hint="default"/>
      </w:r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19" w15:restartNumberingAfterBreak="0">
    <w:nsid w:val="6ADB27CB"/>
    <w:multiLevelType w:val="hybridMultilevel"/>
    <w:tmpl w:val="9D541656"/>
    <w:lvl w:ilvl="0" w:tplc="04050001">
      <w:start w:val="1"/>
      <w:numFmt w:val="bullet"/>
      <w:lvlText w:val=""/>
      <w:lvlJc w:val="left"/>
      <w:pPr>
        <w:ind w:left="720" w:hanging="360"/>
      </w:pPr>
      <w:rPr>
        <w:rFonts w:ascii="Symbol" w:hAnsi="Symbol"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Times New Roman" w:hint="default"/>
      </w:rPr>
    </w:lvl>
    <w:lvl w:ilvl="3" w:tplc="04050001">
      <w:start w:val="1"/>
      <w:numFmt w:val="bullet"/>
      <w:lvlText w:val=""/>
      <w:lvlJc w:val="left"/>
      <w:pPr>
        <w:ind w:left="2880" w:hanging="360"/>
      </w:pPr>
      <w:rPr>
        <w:rFonts w:ascii="Symbol" w:hAnsi="Symbol" w:cs="Times New Roman"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Times New Roman" w:hint="default"/>
      </w:rPr>
    </w:lvl>
    <w:lvl w:ilvl="6" w:tplc="04050001">
      <w:start w:val="1"/>
      <w:numFmt w:val="bullet"/>
      <w:lvlText w:val=""/>
      <w:lvlJc w:val="left"/>
      <w:pPr>
        <w:ind w:left="5040" w:hanging="360"/>
      </w:pPr>
      <w:rPr>
        <w:rFonts w:ascii="Symbol" w:hAnsi="Symbol" w:cs="Times New Roman"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Times New Roman" w:hint="default"/>
      </w:rPr>
    </w:lvl>
  </w:abstractNum>
  <w:abstractNum w:abstractNumId="20" w15:restartNumberingAfterBreak="0">
    <w:nsid w:val="6D9F4862"/>
    <w:multiLevelType w:val="hybridMultilevel"/>
    <w:tmpl w:val="21482852"/>
    <w:lvl w:ilvl="0" w:tplc="C83ACB88">
      <w:start w:val="9"/>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70BB114E"/>
    <w:multiLevelType w:val="hybridMultilevel"/>
    <w:tmpl w:val="9E9C4674"/>
    <w:lvl w:ilvl="0" w:tplc="04090001">
      <w:start w:val="1"/>
      <w:numFmt w:val="bullet"/>
      <w:lvlText w:val=""/>
      <w:lvlJc w:val="left"/>
      <w:pPr>
        <w:ind w:left="720" w:hanging="360"/>
      </w:pPr>
      <w:rPr>
        <w:rFonts w:ascii="Symbol"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Times New Roman" w:hint="default"/>
      </w:rPr>
    </w:lvl>
    <w:lvl w:ilvl="3" w:tplc="04090001">
      <w:start w:val="1"/>
      <w:numFmt w:val="bullet"/>
      <w:lvlText w:val=""/>
      <w:lvlJc w:val="left"/>
      <w:pPr>
        <w:ind w:left="2880" w:hanging="360"/>
      </w:pPr>
      <w:rPr>
        <w:rFonts w:ascii="Symbol" w:hAnsi="Symbol"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Times New Roman" w:hint="default"/>
      </w:rPr>
    </w:lvl>
    <w:lvl w:ilvl="6" w:tplc="04090001">
      <w:start w:val="1"/>
      <w:numFmt w:val="bullet"/>
      <w:lvlText w:val=""/>
      <w:lvlJc w:val="left"/>
      <w:pPr>
        <w:ind w:left="5040" w:hanging="360"/>
      </w:pPr>
      <w:rPr>
        <w:rFonts w:ascii="Symbol" w:hAnsi="Symbol"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Times New Roman" w:hint="default"/>
      </w:rPr>
    </w:lvl>
  </w:abstractNum>
  <w:abstractNum w:abstractNumId="22" w15:restartNumberingAfterBreak="0">
    <w:nsid w:val="715C390C"/>
    <w:multiLevelType w:val="multilevel"/>
    <w:tmpl w:val="6054E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2A14917"/>
    <w:multiLevelType w:val="hybridMultilevel"/>
    <w:tmpl w:val="8E70FAB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4" w15:restartNumberingAfterBreak="0">
    <w:nsid w:val="769C1B8C"/>
    <w:multiLevelType w:val="hybridMultilevel"/>
    <w:tmpl w:val="7FEE458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77734846"/>
    <w:multiLevelType w:val="hybridMultilevel"/>
    <w:tmpl w:val="BEF07810"/>
    <w:lvl w:ilvl="0" w:tplc="DFB60D2C">
      <w:numFmt w:val="bullet"/>
      <w:lvlText w:val="-"/>
      <w:lvlJc w:val="left"/>
      <w:pPr>
        <w:ind w:left="420" w:hanging="360"/>
      </w:pPr>
      <w:rPr>
        <w:rFonts w:ascii="Arial" w:eastAsia="Times New Roman" w:hAnsi="Arial" w:cs="Arial"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26" w15:restartNumberingAfterBreak="0">
    <w:nsid w:val="7A2541D3"/>
    <w:multiLevelType w:val="multilevel"/>
    <w:tmpl w:val="DC46F602"/>
    <w:lvl w:ilvl="0">
      <w:start w:val="1"/>
      <w:numFmt w:val="bullet"/>
      <w:lvlText w:val=""/>
      <w:lvlJc w:val="left"/>
      <w:pPr>
        <w:tabs>
          <w:tab w:val="num" w:pos="720"/>
        </w:tabs>
        <w:ind w:left="720" w:hanging="360"/>
      </w:pPr>
      <w:rPr>
        <w:rFonts w:ascii="Symbol" w:hAnsi="Symbol" w:cs="Times New Roman"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Times New Roman" w:hint="default"/>
        <w:sz w:val="20"/>
        <w:szCs w:val="20"/>
      </w:rPr>
    </w:lvl>
    <w:lvl w:ilvl="3">
      <w:start w:val="1"/>
      <w:numFmt w:val="bullet"/>
      <w:lvlText w:val=""/>
      <w:lvlJc w:val="left"/>
      <w:pPr>
        <w:tabs>
          <w:tab w:val="num" w:pos="2880"/>
        </w:tabs>
        <w:ind w:left="2880" w:hanging="360"/>
      </w:pPr>
      <w:rPr>
        <w:rFonts w:ascii="Wingdings" w:hAnsi="Wingdings" w:cs="Times New Roman" w:hint="default"/>
        <w:sz w:val="20"/>
        <w:szCs w:val="20"/>
      </w:rPr>
    </w:lvl>
    <w:lvl w:ilvl="4">
      <w:start w:val="1"/>
      <w:numFmt w:val="bullet"/>
      <w:lvlText w:val=""/>
      <w:lvlJc w:val="left"/>
      <w:pPr>
        <w:tabs>
          <w:tab w:val="num" w:pos="3600"/>
        </w:tabs>
        <w:ind w:left="3600" w:hanging="360"/>
      </w:pPr>
      <w:rPr>
        <w:rFonts w:ascii="Wingdings" w:hAnsi="Wingdings" w:cs="Times New Roman" w:hint="default"/>
        <w:sz w:val="20"/>
        <w:szCs w:val="20"/>
      </w:rPr>
    </w:lvl>
    <w:lvl w:ilvl="5">
      <w:start w:val="1"/>
      <w:numFmt w:val="bullet"/>
      <w:lvlText w:val=""/>
      <w:lvlJc w:val="left"/>
      <w:pPr>
        <w:tabs>
          <w:tab w:val="num" w:pos="4320"/>
        </w:tabs>
        <w:ind w:left="4320" w:hanging="360"/>
      </w:pPr>
      <w:rPr>
        <w:rFonts w:ascii="Wingdings" w:hAnsi="Wingdings" w:cs="Times New Roman" w:hint="default"/>
        <w:sz w:val="20"/>
        <w:szCs w:val="20"/>
      </w:rPr>
    </w:lvl>
    <w:lvl w:ilvl="6">
      <w:start w:val="1"/>
      <w:numFmt w:val="bullet"/>
      <w:lvlText w:val=""/>
      <w:lvlJc w:val="left"/>
      <w:pPr>
        <w:tabs>
          <w:tab w:val="num" w:pos="5040"/>
        </w:tabs>
        <w:ind w:left="5040" w:hanging="360"/>
      </w:pPr>
      <w:rPr>
        <w:rFonts w:ascii="Wingdings" w:hAnsi="Wingdings" w:cs="Times New Roman" w:hint="default"/>
        <w:sz w:val="20"/>
        <w:szCs w:val="20"/>
      </w:rPr>
    </w:lvl>
    <w:lvl w:ilvl="7">
      <w:start w:val="1"/>
      <w:numFmt w:val="bullet"/>
      <w:lvlText w:val=""/>
      <w:lvlJc w:val="left"/>
      <w:pPr>
        <w:tabs>
          <w:tab w:val="num" w:pos="5760"/>
        </w:tabs>
        <w:ind w:left="5760" w:hanging="360"/>
      </w:pPr>
      <w:rPr>
        <w:rFonts w:ascii="Wingdings" w:hAnsi="Wingdings" w:cs="Times New Roman" w:hint="default"/>
        <w:sz w:val="20"/>
        <w:szCs w:val="20"/>
      </w:rPr>
    </w:lvl>
    <w:lvl w:ilvl="8">
      <w:start w:val="1"/>
      <w:numFmt w:val="bullet"/>
      <w:lvlText w:val=""/>
      <w:lvlJc w:val="left"/>
      <w:pPr>
        <w:tabs>
          <w:tab w:val="num" w:pos="6480"/>
        </w:tabs>
        <w:ind w:left="6480" w:hanging="360"/>
      </w:pPr>
      <w:rPr>
        <w:rFonts w:ascii="Wingdings" w:hAnsi="Wingdings" w:cs="Times New Roman" w:hint="default"/>
        <w:sz w:val="20"/>
        <w:szCs w:val="20"/>
      </w:rPr>
    </w:lvl>
  </w:abstractNum>
  <w:abstractNum w:abstractNumId="27" w15:restartNumberingAfterBreak="0">
    <w:nsid w:val="7BC51731"/>
    <w:multiLevelType w:val="hybridMultilevel"/>
    <w:tmpl w:val="D1EAA5C0"/>
    <w:lvl w:ilvl="0" w:tplc="041B0001">
      <w:start w:val="1"/>
      <w:numFmt w:val="bullet"/>
      <w:lvlText w:val=""/>
      <w:lvlJc w:val="left"/>
      <w:pPr>
        <w:ind w:left="765" w:hanging="360"/>
      </w:pPr>
      <w:rPr>
        <w:rFonts w:ascii="Symbol" w:hAnsi="Symbol" w:hint="default"/>
      </w:rPr>
    </w:lvl>
    <w:lvl w:ilvl="1" w:tplc="041B0003" w:tentative="1">
      <w:start w:val="1"/>
      <w:numFmt w:val="bullet"/>
      <w:lvlText w:val="o"/>
      <w:lvlJc w:val="left"/>
      <w:pPr>
        <w:ind w:left="1485" w:hanging="360"/>
      </w:pPr>
      <w:rPr>
        <w:rFonts w:ascii="Courier New" w:hAnsi="Courier New" w:cs="Courier New" w:hint="default"/>
      </w:rPr>
    </w:lvl>
    <w:lvl w:ilvl="2" w:tplc="041B0005" w:tentative="1">
      <w:start w:val="1"/>
      <w:numFmt w:val="bullet"/>
      <w:lvlText w:val=""/>
      <w:lvlJc w:val="left"/>
      <w:pPr>
        <w:ind w:left="2205" w:hanging="360"/>
      </w:pPr>
      <w:rPr>
        <w:rFonts w:ascii="Wingdings" w:hAnsi="Wingdings" w:hint="default"/>
      </w:rPr>
    </w:lvl>
    <w:lvl w:ilvl="3" w:tplc="041B0001" w:tentative="1">
      <w:start w:val="1"/>
      <w:numFmt w:val="bullet"/>
      <w:lvlText w:val=""/>
      <w:lvlJc w:val="left"/>
      <w:pPr>
        <w:ind w:left="2925" w:hanging="360"/>
      </w:pPr>
      <w:rPr>
        <w:rFonts w:ascii="Symbol" w:hAnsi="Symbol" w:hint="default"/>
      </w:rPr>
    </w:lvl>
    <w:lvl w:ilvl="4" w:tplc="041B0003" w:tentative="1">
      <w:start w:val="1"/>
      <w:numFmt w:val="bullet"/>
      <w:lvlText w:val="o"/>
      <w:lvlJc w:val="left"/>
      <w:pPr>
        <w:ind w:left="3645" w:hanging="360"/>
      </w:pPr>
      <w:rPr>
        <w:rFonts w:ascii="Courier New" w:hAnsi="Courier New" w:cs="Courier New" w:hint="default"/>
      </w:rPr>
    </w:lvl>
    <w:lvl w:ilvl="5" w:tplc="041B0005" w:tentative="1">
      <w:start w:val="1"/>
      <w:numFmt w:val="bullet"/>
      <w:lvlText w:val=""/>
      <w:lvlJc w:val="left"/>
      <w:pPr>
        <w:ind w:left="4365" w:hanging="360"/>
      </w:pPr>
      <w:rPr>
        <w:rFonts w:ascii="Wingdings" w:hAnsi="Wingdings" w:hint="default"/>
      </w:rPr>
    </w:lvl>
    <w:lvl w:ilvl="6" w:tplc="041B0001" w:tentative="1">
      <w:start w:val="1"/>
      <w:numFmt w:val="bullet"/>
      <w:lvlText w:val=""/>
      <w:lvlJc w:val="left"/>
      <w:pPr>
        <w:ind w:left="5085" w:hanging="360"/>
      </w:pPr>
      <w:rPr>
        <w:rFonts w:ascii="Symbol" w:hAnsi="Symbol" w:hint="default"/>
      </w:rPr>
    </w:lvl>
    <w:lvl w:ilvl="7" w:tplc="041B0003" w:tentative="1">
      <w:start w:val="1"/>
      <w:numFmt w:val="bullet"/>
      <w:lvlText w:val="o"/>
      <w:lvlJc w:val="left"/>
      <w:pPr>
        <w:ind w:left="5805" w:hanging="360"/>
      </w:pPr>
      <w:rPr>
        <w:rFonts w:ascii="Courier New" w:hAnsi="Courier New" w:cs="Courier New" w:hint="default"/>
      </w:rPr>
    </w:lvl>
    <w:lvl w:ilvl="8" w:tplc="041B0005" w:tentative="1">
      <w:start w:val="1"/>
      <w:numFmt w:val="bullet"/>
      <w:lvlText w:val=""/>
      <w:lvlJc w:val="left"/>
      <w:pPr>
        <w:ind w:left="6525" w:hanging="360"/>
      </w:pPr>
      <w:rPr>
        <w:rFonts w:ascii="Wingdings" w:hAnsi="Wingdings" w:hint="default"/>
      </w:rPr>
    </w:lvl>
  </w:abstractNum>
  <w:abstractNum w:abstractNumId="28" w15:restartNumberingAfterBreak="0">
    <w:nsid w:val="7E792F41"/>
    <w:multiLevelType w:val="hybridMultilevel"/>
    <w:tmpl w:val="EC506BE4"/>
    <w:lvl w:ilvl="0" w:tplc="04090001">
      <w:start w:val="1"/>
      <w:numFmt w:val="bullet"/>
      <w:lvlText w:val=""/>
      <w:lvlJc w:val="left"/>
      <w:pPr>
        <w:ind w:left="720" w:hanging="360"/>
      </w:pPr>
      <w:rPr>
        <w:rFonts w:ascii="Symbol"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Times New Roman" w:hint="default"/>
      </w:rPr>
    </w:lvl>
    <w:lvl w:ilvl="3" w:tplc="04090001">
      <w:start w:val="1"/>
      <w:numFmt w:val="bullet"/>
      <w:lvlText w:val=""/>
      <w:lvlJc w:val="left"/>
      <w:pPr>
        <w:ind w:left="2880" w:hanging="360"/>
      </w:pPr>
      <w:rPr>
        <w:rFonts w:ascii="Symbol" w:hAnsi="Symbol"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Times New Roman" w:hint="default"/>
      </w:rPr>
    </w:lvl>
    <w:lvl w:ilvl="6" w:tplc="04090001">
      <w:start w:val="1"/>
      <w:numFmt w:val="bullet"/>
      <w:lvlText w:val=""/>
      <w:lvlJc w:val="left"/>
      <w:pPr>
        <w:ind w:left="5040" w:hanging="360"/>
      </w:pPr>
      <w:rPr>
        <w:rFonts w:ascii="Symbol" w:hAnsi="Symbol"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Times New Roman" w:hint="default"/>
      </w:rPr>
    </w:lvl>
  </w:abstractNum>
  <w:abstractNum w:abstractNumId="29" w15:restartNumberingAfterBreak="0">
    <w:nsid w:val="7EAB47C8"/>
    <w:multiLevelType w:val="hybridMultilevel"/>
    <w:tmpl w:val="F238E128"/>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num w:numId="1" w16cid:durableId="507596180">
    <w:abstractNumId w:val="0"/>
  </w:num>
  <w:num w:numId="2" w16cid:durableId="2059234000">
    <w:abstractNumId w:val="1"/>
  </w:num>
  <w:num w:numId="3" w16cid:durableId="1635597679">
    <w:abstractNumId w:val="11"/>
  </w:num>
  <w:num w:numId="4" w16cid:durableId="965504480">
    <w:abstractNumId w:val="26"/>
  </w:num>
  <w:num w:numId="5" w16cid:durableId="1576276708">
    <w:abstractNumId w:val="28"/>
  </w:num>
  <w:num w:numId="6" w16cid:durableId="1328091410">
    <w:abstractNumId w:val="15"/>
  </w:num>
  <w:num w:numId="7" w16cid:durableId="463695863">
    <w:abstractNumId w:val="21"/>
  </w:num>
  <w:num w:numId="8" w16cid:durableId="1173766897">
    <w:abstractNumId w:val="2"/>
  </w:num>
  <w:num w:numId="9" w16cid:durableId="823354412">
    <w:abstractNumId w:val="7"/>
  </w:num>
  <w:num w:numId="10" w16cid:durableId="319384167">
    <w:abstractNumId w:val="9"/>
  </w:num>
  <w:num w:numId="11" w16cid:durableId="1409889921">
    <w:abstractNumId w:val="16"/>
  </w:num>
  <w:num w:numId="12" w16cid:durableId="2053917248">
    <w:abstractNumId w:val="3"/>
  </w:num>
  <w:num w:numId="13" w16cid:durableId="1142231847">
    <w:abstractNumId w:val="13"/>
  </w:num>
  <w:num w:numId="14" w16cid:durableId="621620590">
    <w:abstractNumId w:val="19"/>
  </w:num>
  <w:num w:numId="15" w16cid:durableId="1182743857">
    <w:abstractNumId w:val="12"/>
  </w:num>
  <w:num w:numId="16" w16cid:durableId="535116193">
    <w:abstractNumId w:val="20"/>
  </w:num>
  <w:num w:numId="17" w16cid:durableId="289945769">
    <w:abstractNumId w:val="29"/>
  </w:num>
  <w:num w:numId="18" w16cid:durableId="1878619209">
    <w:abstractNumId w:val="23"/>
  </w:num>
  <w:num w:numId="19" w16cid:durableId="256911699">
    <w:abstractNumId w:val="10"/>
  </w:num>
  <w:num w:numId="20" w16cid:durableId="1460144852">
    <w:abstractNumId w:val="5"/>
  </w:num>
  <w:num w:numId="21" w16cid:durableId="32006039">
    <w:abstractNumId w:val="25"/>
  </w:num>
  <w:num w:numId="22" w16cid:durableId="5879547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60353227">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5801607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68110544">
    <w:abstractNumId w:val="27"/>
  </w:num>
  <w:num w:numId="26" w16cid:durableId="2086798581">
    <w:abstractNumId w:val="24"/>
  </w:num>
  <w:num w:numId="27" w16cid:durableId="23026304">
    <w:abstractNumId w:val="14"/>
  </w:num>
  <w:num w:numId="28" w16cid:durableId="1614945460">
    <w:abstractNumId w:val="8"/>
  </w:num>
  <w:num w:numId="29" w16cid:durableId="1139113185">
    <w:abstractNumId w:val="22"/>
  </w:num>
  <w:num w:numId="30" w16cid:durableId="18778121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425"/>
  <w:doNotHyphenateCaps/>
  <w:displayHorizontalDrawingGridEvery w:val="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492"/>
    <w:rsid w:val="00005A52"/>
    <w:rsid w:val="0001016D"/>
    <w:rsid w:val="000119F8"/>
    <w:rsid w:val="000122DE"/>
    <w:rsid w:val="00026482"/>
    <w:rsid w:val="00034A97"/>
    <w:rsid w:val="00034DB3"/>
    <w:rsid w:val="000375AA"/>
    <w:rsid w:val="0004309F"/>
    <w:rsid w:val="0005224D"/>
    <w:rsid w:val="000527AC"/>
    <w:rsid w:val="00061C08"/>
    <w:rsid w:val="000663DE"/>
    <w:rsid w:val="00066556"/>
    <w:rsid w:val="0006690C"/>
    <w:rsid w:val="000708F2"/>
    <w:rsid w:val="00070907"/>
    <w:rsid w:val="00073E74"/>
    <w:rsid w:val="00077492"/>
    <w:rsid w:val="0007787D"/>
    <w:rsid w:val="000821E4"/>
    <w:rsid w:val="00084272"/>
    <w:rsid w:val="000846E5"/>
    <w:rsid w:val="00090F5D"/>
    <w:rsid w:val="00092DFC"/>
    <w:rsid w:val="00092F45"/>
    <w:rsid w:val="000A05A5"/>
    <w:rsid w:val="000A2971"/>
    <w:rsid w:val="000B475C"/>
    <w:rsid w:val="000C501B"/>
    <w:rsid w:val="000D1D63"/>
    <w:rsid w:val="000D3AC2"/>
    <w:rsid w:val="000E3AD3"/>
    <w:rsid w:val="000E3F65"/>
    <w:rsid w:val="000E3FD5"/>
    <w:rsid w:val="000F3931"/>
    <w:rsid w:val="000F7D6A"/>
    <w:rsid w:val="00100DCD"/>
    <w:rsid w:val="00107B0D"/>
    <w:rsid w:val="001251F8"/>
    <w:rsid w:val="00125401"/>
    <w:rsid w:val="00125943"/>
    <w:rsid w:val="00125AEE"/>
    <w:rsid w:val="001463BF"/>
    <w:rsid w:val="0014684C"/>
    <w:rsid w:val="001549CA"/>
    <w:rsid w:val="00174639"/>
    <w:rsid w:val="001803EE"/>
    <w:rsid w:val="00185E7C"/>
    <w:rsid w:val="001868DD"/>
    <w:rsid w:val="00186DB7"/>
    <w:rsid w:val="001915BE"/>
    <w:rsid w:val="001A061E"/>
    <w:rsid w:val="001B7A37"/>
    <w:rsid w:val="001C1C98"/>
    <w:rsid w:val="001C2741"/>
    <w:rsid w:val="001C41BE"/>
    <w:rsid w:val="001D7D32"/>
    <w:rsid w:val="001E0846"/>
    <w:rsid w:val="001E1A53"/>
    <w:rsid w:val="001E4305"/>
    <w:rsid w:val="001F0038"/>
    <w:rsid w:val="001F30F1"/>
    <w:rsid w:val="001F5441"/>
    <w:rsid w:val="00210AFE"/>
    <w:rsid w:val="00210B93"/>
    <w:rsid w:val="00212994"/>
    <w:rsid w:val="002132CC"/>
    <w:rsid w:val="00223E1A"/>
    <w:rsid w:val="00224586"/>
    <w:rsid w:val="00231C89"/>
    <w:rsid w:val="00234D4D"/>
    <w:rsid w:val="0024187D"/>
    <w:rsid w:val="002759A0"/>
    <w:rsid w:val="00281649"/>
    <w:rsid w:val="002875E9"/>
    <w:rsid w:val="002A2892"/>
    <w:rsid w:val="002A2F3E"/>
    <w:rsid w:val="002B05E0"/>
    <w:rsid w:val="002B562E"/>
    <w:rsid w:val="002C0038"/>
    <w:rsid w:val="002C67CC"/>
    <w:rsid w:val="002D122C"/>
    <w:rsid w:val="002D22B1"/>
    <w:rsid w:val="002E3B38"/>
    <w:rsid w:val="002F3064"/>
    <w:rsid w:val="002F468B"/>
    <w:rsid w:val="002F72C2"/>
    <w:rsid w:val="003006BF"/>
    <w:rsid w:val="003029A1"/>
    <w:rsid w:val="00310085"/>
    <w:rsid w:val="003108FE"/>
    <w:rsid w:val="00313724"/>
    <w:rsid w:val="00314ECB"/>
    <w:rsid w:val="0031614D"/>
    <w:rsid w:val="00316355"/>
    <w:rsid w:val="003166C8"/>
    <w:rsid w:val="00327977"/>
    <w:rsid w:val="003310F4"/>
    <w:rsid w:val="0034134C"/>
    <w:rsid w:val="0034259A"/>
    <w:rsid w:val="00342814"/>
    <w:rsid w:val="0034282F"/>
    <w:rsid w:val="00343AB3"/>
    <w:rsid w:val="003519C9"/>
    <w:rsid w:val="003651F5"/>
    <w:rsid w:val="003804FD"/>
    <w:rsid w:val="00382303"/>
    <w:rsid w:val="00382DA7"/>
    <w:rsid w:val="00385527"/>
    <w:rsid w:val="003932D0"/>
    <w:rsid w:val="003958FD"/>
    <w:rsid w:val="003A4094"/>
    <w:rsid w:val="003B5DB7"/>
    <w:rsid w:val="003B78DA"/>
    <w:rsid w:val="003C1F9B"/>
    <w:rsid w:val="003C4A8A"/>
    <w:rsid w:val="003D19ED"/>
    <w:rsid w:val="003D4AE2"/>
    <w:rsid w:val="003E3ECB"/>
    <w:rsid w:val="003E49DC"/>
    <w:rsid w:val="003F14A7"/>
    <w:rsid w:val="003F6640"/>
    <w:rsid w:val="00410E19"/>
    <w:rsid w:val="0041445E"/>
    <w:rsid w:val="00415B38"/>
    <w:rsid w:val="004212F7"/>
    <w:rsid w:val="004245A2"/>
    <w:rsid w:val="00433E7D"/>
    <w:rsid w:val="00440F40"/>
    <w:rsid w:val="00442272"/>
    <w:rsid w:val="0044248F"/>
    <w:rsid w:val="00450DF8"/>
    <w:rsid w:val="00451765"/>
    <w:rsid w:val="00461978"/>
    <w:rsid w:val="00463E3F"/>
    <w:rsid w:val="00464C2F"/>
    <w:rsid w:val="004678F1"/>
    <w:rsid w:val="00474BB9"/>
    <w:rsid w:val="0048653B"/>
    <w:rsid w:val="00494934"/>
    <w:rsid w:val="004A182B"/>
    <w:rsid w:val="004A3316"/>
    <w:rsid w:val="004B32A8"/>
    <w:rsid w:val="004B7512"/>
    <w:rsid w:val="004C2B93"/>
    <w:rsid w:val="004C7BDF"/>
    <w:rsid w:val="004C7E02"/>
    <w:rsid w:val="004D0C87"/>
    <w:rsid w:val="004D32DB"/>
    <w:rsid w:val="004D59C5"/>
    <w:rsid w:val="004F7287"/>
    <w:rsid w:val="0050096E"/>
    <w:rsid w:val="005048FC"/>
    <w:rsid w:val="005157C3"/>
    <w:rsid w:val="0051648E"/>
    <w:rsid w:val="00517F75"/>
    <w:rsid w:val="00525E1D"/>
    <w:rsid w:val="0053282A"/>
    <w:rsid w:val="0053301D"/>
    <w:rsid w:val="0053678C"/>
    <w:rsid w:val="00537E32"/>
    <w:rsid w:val="0054204E"/>
    <w:rsid w:val="005463D0"/>
    <w:rsid w:val="00566664"/>
    <w:rsid w:val="00571D4A"/>
    <w:rsid w:val="00577840"/>
    <w:rsid w:val="00580DDA"/>
    <w:rsid w:val="00581AC4"/>
    <w:rsid w:val="005823D5"/>
    <w:rsid w:val="0059263D"/>
    <w:rsid w:val="005B2429"/>
    <w:rsid w:val="005B4EDE"/>
    <w:rsid w:val="005B6153"/>
    <w:rsid w:val="005B676E"/>
    <w:rsid w:val="005B7052"/>
    <w:rsid w:val="005B735B"/>
    <w:rsid w:val="005C1E8F"/>
    <w:rsid w:val="005C36C0"/>
    <w:rsid w:val="005C41D9"/>
    <w:rsid w:val="005D0C03"/>
    <w:rsid w:val="005D2C8C"/>
    <w:rsid w:val="005D392B"/>
    <w:rsid w:val="005F44C8"/>
    <w:rsid w:val="0060368E"/>
    <w:rsid w:val="0060696E"/>
    <w:rsid w:val="00612A5C"/>
    <w:rsid w:val="00613425"/>
    <w:rsid w:val="00616E37"/>
    <w:rsid w:val="00626518"/>
    <w:rsid w:val="00633490"/>
    <w:rsid w:val="00640955"/>
    <w:rsid w:val="006500D7"/>
    <w:rsid w:val="00651CD6"/>
    <w:rsid w:val="00655342"/>
    <w:rsid w:val="0065776B"/>
    <w:rsid w:val="00660900"/>
    <w:rsid w:val="00661103"/>
    <w:rsid w:val="00662A0F"/>
    <w:rsid w:val="00666AF1"/>
    <w:rsid w:val="00667751"/>
    <w:rsid w:val="00670C69"/>
    <w:rsid w:val="00672CDB"/>
    <w:rsid w:val="00674553"/>
    <w:rsid w:val="00681E6B"/>
    <w:rsid w:val="006839BB"/>
    <w:rsid w:val="00697FC6"/>
    <w:rsid w:val="006A4D8E"/>
    <w:rsid w:val="006A5C9B"/>
    <w:rsid w:val="006B2D54"/>
    <w:rsid w:val="006C3FF5"/>
    <w:rsid w:val="006D2368"/>
    <w:rsid w:val="006D5A48"/>
    <w:rsid w:val="006E016B"/>
    <w:rsid w:val="006F5A47"/>
    <w:rsid w:val="0070216E"/>
    <w:rsid w:val="00703A3E"/>
    <w:rsid w:val="00713EFE"/>
    <w:rsid w:val="00720F46"/>
    <w:rsid w:val="00733672"/>
    <w:rsid w:val="00735825"/>
    <w:rsid w:val="0073616D"/>
    <w:rsid w:val="00753340"/>
    <w:rsid w:val="007559FD"/>
    <w:rsid w:val="007660CC"/>
    <w:rsid w:val="00776D8D"/>
    <w:rsid w:val="00777E73"/>
    <w:rsid w:val="0078187E"/>
    <w:rsid w:val="00782104"/>
    <w:rsid w:val="007847DF"/>
    <w:rsid w:val="00787C24"/>
    <w:rsid w:val="0079136B"/>
    <w:rsid w:val="0079153C"/>
    <w:rsid w:val="007A4AFF"/>
    <w:rsid w:val="007A590A"/>
    <w:rsid w:val="007B3C66"/>
    <w:rsid w:val="007B7C38"/>
    <w:rsid w:val="007C0D0D"/>
    <w:rsid w:val="007D08D1"/>
    <w:rsid w:val="007D4188"/>
    <w:rsid w:val="007D4FAF"/>
    <w:rsid w:val="007E0077"/>
    <w:rsid w:val="007E25B9"/>
    <w:rsid w:val="007F419B"/>
    <w:rsid w:val="007F5F45"/>
    <w:rsid w:val="007F6515"/>
    <w:rsid w:val="00801E50"/>
    <w:rsid w:val="008020A7"/>
    <w:rsid w:val="00810E14"/>
    <w:rsid w:val="00817D7A"/>
    <w:rsid w:val="00821E7C"/>
    <w:rsid w:val="008442AF"/>
    <w:rsid w:val="00844D44"/>
    <w:rsid w:val="008457D0"/>
    <w:rsid w:val="00846865"/>
    <w:rsid w:val="00847987"/>
    <w:rsid w:val="00854BFC"/>
    <w:rsid w:val="008564D7"/>
    <w:rsid w:val="00865EC3"/>
    <w:rsid w:val="008665FF"/>
    <w:rsid w:val="0087244F"/>
    <w:rsid w:val="00876AC6"/>
    <w:rsid w:val="0088517B"/>
    <w:rsid w:val="0088633E"/>
    <w:rsid w:val="008922A1"/>
    <w:rsid w:val="008A5C17"/>
    <w:rsid w:val="008B64FA"/>
    <w:rsid w:val="008C2C76"/>
    <w:rsid w:val="008C34B3"/>
    <w:rsid w:val="008C398E"/>
    <w:rsid w:val="008C3B28"/>
    <w:rsid w:val="008D0B84"/>
    <w:rsid w:val="008D12FA"/>
    <w:rsid w:val="008D461D"/>
    <w:rsid w:val="008E1EA2"/>
    <w:rsid w:val="008E4B4C"/>
    <w:rsid w:val="008E61FD"/>
    <w:rsid w:val="008F3660"/>
    <w:rsid w:val="0090115E"/>
    <w:rsid w:val="0090612B"/>
    <w:rsid w:val="00917549"/>
    <w:rsid w:val="0092188C"/>
    <w:rsid w:val="00925253"/>
    <w:rsid w:val="00942A1F"/>
    <w:rsid w:val="009433AE"/>
    <w:rsid w:val="00962A17"/>
    <w:rsid w:val="00984B5E"/>
    <w:rsid w:val="009853AF"/>
    <w:rsid w:val="0098607C"/>
    <w:rsid w:val="00992C20"/>
    <w:rsid w:val="00992F2A"/>
    <w:rsid w:val="0099792E"/>
    <w:rsid w:val="009A5DED"/>
    <w:rsid w:val="009B2629"/>
    <w:rsid w:val="009C0BB4"/>
    <w:rsid w:val="009C3377"/>
    <w:rsid w:val="009D62C4"/>
    <w:rsid w:val="009E7511"/>
    <w:rsid w:val="00A126B8"/>
    <w:rsid w:val="00A156DA"/>
    <w:rsid w:val="00A16BDB"/>
    <w:rsid w:val="00A2238E"/>
    <w:rsid w:val="00A26E92"/>
    <w:rsid w:val="00A324B9"/>
    <w:rsid w:val="00A40D6C"/>
    <w:rsid w:val="00A42DC3"/>
    <w:rsid w:val="00A500AF"/>
    <w:rsid w:val="00A5296F"/>
    <w:rsid w:val="00A67F1E"/>
    <w:rsid w:val="00A72EF6"/>
    <w:rsid w:val="00A77F31"/>
    <w:rsid w:val="00A81931"/>
    <w:rsid w:val="00AA3F5A"/>
    <w:rsid w:val="00AB787A"/>
    <w:rsid w:val="00AC014F"/>
    <w:rsid w:val="00AC2772"/>
    <w:rsid w:val="00AC5D48"/>
    <w:rsid w:val="00AC7315"/>
    <w:rsid w:val="00AD26A1"/>
    <w:rsid w:val="00AE3569"/>
    <w:rsid w:val="00AE56BF"/>
    <w:rsid w:val="00AE5B9B"/>
    <w:rsid w:val="00AF5768"/>
    <w:rsid w:val="00AF6DFA"/>
    <w:rsid w:val="00B032D1"/>
    <w:rsid w:val="00B034D1"/>
    <w:rsid w:val="00B156D9"/>
    <w:rsid w:val="00B16B80"/>
    <w:rsid w:val="00B220C4"/>
    <w:rsid w:val="00B22BF7"/>
    <w:rsid w:val="00B24D4A"/>
    <w:rsid w:val="00B254C3"/>
    <w:rsid w:val="00B26491"/>
    <w:rsid w:val="00B26524"/>
    <w:rsid w:val="00B3064F"/>
    <w:rsid w:val="00B30F2A"/>
    <w:rsid w:val="00B327C2"/>
    <w:rsid w:val="00B33559"/>
    <w:rsid w:val="00B35830"/>
    <w:rsid w:val="00B3702C"/>
    <w:rsid w:val="00B40157"/>
    <w:rsid w:val="00B454F4"/>
    <w:rsid w:val="00B5268D"/>
    <w:rsid w:val="00B53169"/>
    <w:rsid w:val="00B55D2C"/>
    <w:rsid w:val="00B61B66"/>
    <w:rsid w:val="00B6279B"/>
    <w:rsid w:val="00B635F5"/>
    <w:rsid w:val="00B64E24"/>
    <w:rsid w:val="00B66465"/>
    <w:rsid w:val="00B67253"/>
    <w:rsid w:val="00B8300B"/>
    <w:rsid w:val="00B83B8B"/>
    <w:rsid w:val="00B86B7C"/>
    <w:rsid w:val="00B950E9"/>
    <w:rsid w:val="00B97EE2"/>
    <w:rsid w:val="00BA09C0"/>
    <w:rsid w:val="00BA736B"/>
    <w:rsid w:val="00BA7F99"/>
    <w:rsid w:val="00BC4303"/>
    <w:rsid w:val="00BD733C"/>
    <w:rsid w:val="00BE1514"/>
    <w:rsid w:val="00BE45E8"/>
    <w:rsid w:val="00BE5C40"/>
    <w:rsid w:val="00BE736C"/>
    <w:rsid w:val="00BF0D15"/>
    <w:rsid w:val="00BF1F3E"/>
    <w:rsid w:val="00BF601A"/>
    <w:rsid w:val="00BF7AFA"/>
    <w:rsid w:val="00C06C21"/>
    <w:rsid w:val="00C2195A"/>
    <w:rsid w:val="00C23C1A"/>
    <w:rsid w:val="00C2439B"/>
    <w:rsid w:val="00C3042F"/>
    <w:rsid w:val="00C31A52"/>
    <w:rsid w:val="00C33173"/>
    <w:rsid w:val="00C3508F"/>
    <w:rsid w:val="00C35658"/>
    <w:rsid w:val="00C41C41"/>
    <w:rsid w:val="00C42F7B"/>
    <w:rsid w:val="00C501DD"/>
    <w:rsid w:val="00C53CB4"/>
    <w:rsid w:val="00C66B21"/>
    <w:rsid w:val="00C75407"/>
    <w:rsid w:val="00C92F1B"/>
    <w:rsid w:val="00C95CE1"/>
    <w:rsid w:val="00CC1EC6"/>
    <w:rsid w:val="00CD22C0"/>
    <w:rsid w:val="00CE6320"/>
    <w:rsid w:val="00CF0D19"/>
    <w:rsid w:val="00CF39A6"/>
    <w:rsid w:val="00D04F98"/>
    <w:rsid w:val="00D12BB8"/>
    <w:rsid w:val="00D14097"/>
    <w:rsid w:val="00D14EFE"/>
    <w:rsid w:val="00D16390"/>
    <w:rsid w:val="00D20C8E"/>
    <w:rsid w:val="00D20D75"/>
    <w:rsid w:val="00D212BE"/>
    <w:rsid w:val="00D21A9E"/>
    <w:rsid w:val="00D23060"/>
    <w:rsid w:val="00D26B4A"/>
    <w:rsid w:val="00D309D6"/>
    <w:rsid w:val="00D33F68"/>
    <w:rsid w:val="00D41588"/>
    <w:rsid w:val="00D44611"/>
    <w:rsid w:val="00D50086"/>
    <w:rsid w:val="00D66599"/>
    <w:rsid w:val="00D728F5"/>
    <w:rsid w:val="00D8609A"/>
    <w:rsid w:val="00D9262C"/>
    <w:rsid w:val="00D972CF"/>
    <w:rsid w:val="00DA1DBF"/>
    <w:rsid w:val="00DA4099"/>
    <w:rsid w:val="00DA43F0"/>
    <w:rsid w:val="00DB4591"/>
    <w:rsid w:val="00DB4FCA"/>
    <w:rsid w:val="00DC2EC6"/>
    <w:rsid w:val="00DC783D"/>
    <w:rsid w:val="00DD0DE2"/>
    <w:rsid w:val="00DE184B"/>
    <w:rsid w:val="00DE7ED9"/>
    <w:rsid w:val="00DF1791"/>
    <w:rsid w:val="00DF2792"/>
    <w:rsid w:val="00DF2D45"/>
    <w:rsid w:val="00DF44B3"/>
    <w:rsid w:val="00DF79C4"/>
    <w:rsid w:val="00E01D5C"/>
    <w:rsid w:val="00E054D4"/>
    <w:rsid w:val="00E117C9"/>
    <w:rsid w:val="00E20853"/>
    <w:rsid w:val="00E25925"/>
    <w:rsid w:val="00E423B9"/>
    <w:rsid w:val="00E46C6E"/>
    <w:rsid w:val="00E54FF3"/>
    <w:rsid w:val="00E56E1A"/>
    <w:rsid w:val="00E6730B"/>
    <w:rsid w:val="00E74AF4"/>
    <w:rsid w:val="00E7675B"/>
    <w:rsid w:val="00E83541"/>
    <w:rsid w:val="00E876C2"/>
    <w:rsid w:val="00E94370"/>
    <w:rsid w:val="00EA4089"/>
    <w:rsid w:val="00EB4491"/>
    <w:rsid w:val="00EB5320"/>
    <w:rsid w:val="00EB7946"/>
    <w:rsid w:val="00EC0787"/>
    <w:rsid w:val="00ED4253"/>
    <w:rsid w:val="00EE16D9"/>
    <w:rsid w:val="00EE5E52"/>
    <w:rsid w:val="00EF673D"/>
    <w:rsid w:val="00EF75C4"/>
    <w:rsid w:val="00F1157B"/>
    <w:rsid w:val="00F1466E"/>
    <w:rsid w:val="00F328B5"/>
    <w:rsid w:val="00F3502B"/>
    <w:rsid w:val="00F35891"/>
    <w:rsid w:val="00F4033F"/>
    <w:rsid w:val="00F415D6"/>
    <w:rsid w:val="00F564B7"/>
    <w:rsid w:val="00F61CF7"/>
    <w:rsid w:val="00F75E8B"/>
    <w:rsid w:val="00F8175D"/>
    <w:rsid w:val="00F81F5C"/>
    <w:rsid w:val="00F83032"/>
    <w:rsid w:val="00F85570"/>
    <w:rsid w:val="00FA2A77"/>
    <w:rsid w:val="00FB18B1"/>
    <w:rsid w:val="00FB20A1"/>
    <w:rsid w:val="00FB3DE8"/>
    <w:rsid w:val="00FC206B"/>
    <w:rsid w:val="00FC588F"/>
    <w:rsid w:val="00FC799E"/>
    <w:rsid w:val="00FE21DA"/>
    <w:rsid w:val="00FE5569"/>
    <w:rsid w:val="00FF2D97"/>
    <w:rsid w:val="00FF3930"/>
    <w:rsid w:val="00FF512A"/>
    <w:rsid w:val="00FF54C5"/>
    <w:rsid w:val="00FF65F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E2E03A"/>
  <w15:chartTrackingRefBased/>
  <w15:docId w15:val="{1E4C31ED-E6F0-42C6-8294-6FD84FDC0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801E50"/>
    <w:pPr>
      <w:spacing w:afterLines="80" w:after="80" w:line="300" w:lineRule="auto"/>
      <w:jc w:val="both"/>
    </w:pPr>
    <w:rPr>
      <w:rFonts w:ascii="Arial" w:hAnsi="Arial" w:cs="Arial"/>
      <w:noProof/>
      <w:snapToGrid w:val="0"/>
      <w:lang w:eastAsia="en-US"/>
    </w:rPr>
  </w:style>
  <w:style w:type="paragraph" w:styleId="Nadpis1">
    <w:name w:val="heading 1"/>
    <w:basedOn w:val="Normln"/>
    <w:next w:val="Normln"/>
    <w:qFormat/>
    <w:pPr>
      <w:keepNext/>
      <w:spacing w:before="240" w:after="60"/>
      <w:outlineLvl w:val="0"/>
    </w:pPr>
    <w:rPr>
      <w:b/>
      <w:bCs/>
      <w:kern w:val="28"/>
      <w:sz w:val="28"/>
      <w:szCs w:val="28"/>
      <w:lang w:val="sk-SK"/>
    </w:rPr>
  </w:style>
  <w:style w:type="paragraph" w:styleId="Nadpis2">
    <w:name w:val="heading 2"/>
    <w:basedOn w:val="Normln"/>
    <w:next w:val="Normln"/>
    <w:qFormat/>
    <w:pPr>
      <w:keepNext/>
      <w:outlineLvl w:val="1"/>
    </w:pPr>
    <w:rPr>
      <w:b/>
      <w:bCs/>
    </w:rPr>
  </w:style>
  <w:style w:type="paragraph" w:styleId="Nadpis3">
    <w:name w:val="heading 3"/>
    <w:basedOn w:val="Normln"/>
    <w:next w:val="Normln"/>
    <w:qFormat/>
    <w:pPr>
      <w:keepNext/>
      <w:spacing w:line="240" w:lineRule="atLeast"/>
      <w:outlineLvl w:val="2"/>
    </w:pPr>
    <w:rPr>
      <w:b/>
      <w:bCs/>
      <w:color w:val="000000"/>
      <w:lang w:val="en-GB"/>
    </w:rPr>
  </w:style>
  <w:style w:type="paragraph" w:styleId="Nadpis4">
    <w:name w:val="heading 4"/>
    <w:basedOn w:val="Normln"/>
    <w:next w:val="Normln"/>
    <w:qFormat/>
    <w:pPr>
      <w:keepNext/>
      <w:outlineLvl w:val="3"/>
    </w:pPr>
    <w:rPr>
      <w:b/>
      <w:bCs/>
      <w:sz w:val="24"/>
      <w:szCs w:val="24"/>
      <w:lang w:val="en-GB"/>
    </w:rPr>
  </w:style>
  <w:style w:type="paragraph" w:styleId="Nadpis5">
    <w:name w:val="heading 5"/>
    <w:basedOn w:val="Normln"/>
    <w:next w:val="Normln"/>
    <w:qFormat/>
    <w:pPr>
      <w:keepNext/>
      <w:outlineLvl w:val="4"/>
    </w:pPr>
    <w:rPr>
      <w:b/>
      <w:bCs/>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semiHidden/>
    <w:pPr>
      <w:tabs>
        <w:tab w:val="center" w:pos="4153"/>
        <w:tab w:val="right" w:pos="8306"/>
      </w:tabs>
    </w:pPr>
  </w:style>
  <w:style w:type="paragraph" w:styleId="Zpat">
    <w:name w:val="footer"/>
    <w:basedOn w:val="Normln"/>
    <w:semiHidden/>
    <w:pPr>
      <w:tabs>
        <w:tab w:val="center" w:pos="4153"/>
        <w:tab w:val="right" w:pos="8306"/>
      </w:tabs>
    </w:pPr>
  </w:style>
  <w:style w:type="paragraph" w:customStyle="1" w:styleId="ABLOCKPARA">
    <w:name w:val="A BLOCK PARA"/>
    <w:basedOn w:val="Normln"/>
    <w:rPr>
      <w:lang w:val="sk-SK"/>
    </w:rPr>
  </w:style>
  <w:style w:type="character" w:styleId="Hypertextovodkaz">
    <w:name w:val="Hyperlink"/>
    <w:uiPriority w:val="99"/>
    <w:rPr>
      <w:color w:val="0000FF"/>
      <w:u w:val="single"/>
    </w:rPr>
  </w:style>
  <w:style w:type="paragraph" w:styleId="Zkladntext">
    <w:name w:val="Body Text"/>
    <w:basedOn w:val="Normln"/>
    <w:semiHidden/>
    <w:rPr>
      <w:lang w:val="sk-SK"/>
    </w:rPr>
  </w:style>
  <w:style w:type="paragraph" w:customStyle="1" w:styleId="FormtovanvHTML1">
    <w:name w:val="Formátovaný v HTML1"/>
    <w:basedOn w:val="Norml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Times New Roman" w:hAnsi="Times New Roman"/>
    </w:rPr>
  </w:style>
  <w:style w:type="paragraph" w:styleId="Zkladntextodsazen">
    <w:name w:val="Body Text Indent"/>
    <w:basedOn w:val="Normln"/>
    <w:semiHidden/>
    <w:rPr>
      <w:rFonts w:ascii="Times New Roman" w:hAnsi="Times New Roman"/>
      <w:sz w:val="24"/>
      <w:szCs w:val="24"/>
    </w:rPr>
  </w:style>
  <w:style w:type="character" w:customStyle="1" w:styleId="bod1">
    <w:name w:val="bod1"/>
    <w:rPr>
      <w:rFonts w:ascii="Arial" w:hAnsi="Arial" w:cs="Arial"/>
      <w:sz w:val="18"/>
      <w:szCs w:val="18"/>
    </w:rPr>
  </w:style>
  <w:style w:type="paragraph" w:styleId="Normlnweb">
    <w:name w:val="Normal (Web)"/>
    <w:basedOn w:val="Normln"/>
    <w:semiHidden/>
    <w:pPr>
      <w:spacing w:before="100" w:beforeAutospacing="1" w:after="100" w:afterAutospacing="1"/>
    </w:pPr>
    <w:rPr>
      <w:sz w:val="18"/>
      <w:szCs w:val="18"/>
      <w:lang w:val="en-GB"/>
    </w:rPr>
  </w:style>
  <w:style w:type="character" w:styleId="Siln">
    <w:name w:val="Strong"/>
    <w:uiPriority w:val="22"/>
    <w:qFormat/>
    <w:rPr>
      <w:b/>
      <w:bCs/>
    </w:rPr>
  </w:style>
  <w:style w:type="paragraph" w:customStyle="1" w:styleId="Textbubliny1">
    <w:name w:val="Text bubliny1"/>
    <w:basedOn w:val="Normln"/>
    <w:rPr>
      <w:rFonts w:ascii="Times New Roman" w:hAnsi="Times New Roman"/>
      <w:sz w:val="16"/>
      <w:szCs w:val="16"/>
    </w:rPr>
  </w:style>
  <w:style w:type="character" w:styleId="Odkaznakoment">
    <w:name w:val="annotation reference"/>
    <w:semiHidden/>
    <w:rPr>
      <w:sz w:val="16"/>
      <w:szCs w:val="16"/>
    </w:rPr>
  </w:style>
  <w:style w:type="paragraph" w:styleId="Textkomente">
    <w:name w:val="annotation text"/>
    <w:basedOn w:val="Normln"/>
    <w:link w:val="TextkomenteChar"/>
    <w:uiPriority w:val="99"/>
  </w:style>
  <w:style w:type="paragraph" w:customStyle="1" w:styleId="Pedmtkomente1">
    <w:name w:val="Předmět komentáře1"/>
    <w:basedOn w:val="Textkomente"/>
    <w:next w:val="Textkomente"/>
    <w:rPr>
      <w:b/>
      <w:bCs/>
    </w:rPr>
  </w:style>
  <w:style w:type="paragraph" w:styleId="Prosttext">
    <w:name w:val="Plain Text"/>
    <w:basedOn w:val="Normln"/>
    <w:semiHidden/>
    <w:rPr>
      <w:rFonts w:ascii="Courier New" w:hAnsi="Courier New" w:cs="Courier New"/>
    </w:rPr>
  </w:style>
  <w:style w:type="character" w:styleId="Sledovanodkaz">
    <w:name w:val="FollowedHyperlink"/>
    <w:semiHidden/>
    <w:rPr>
      <w:color w:val="800080"/>
      <w:u w:val="single"/>
    </w:rPr>
  </w:style>
  <w:style w:type="paragraph" w:customStyle="1" w:styleId="Odstavecseseznamem1">
    <w:name w:val="Odstavec se seznamem1"/>
    <w:basedOn w:val="Normln"/>
    <w:pPr>
      <w:spacing w:after="200" w:line="276" w:lineRule="auto"/>
      <w:ind w:left="720"/>
    </w:pPr>
    <w:rPr>
      <w:rFonts w:ascii="Calibri" w:hAnsi="Calibri"/>
    </w:rPr>
  </w:style>
  <w:style w:type="paragraph" w:customStyle="1" w:styleId="COVNormal">
    <w:name w:val="COV_Normal"/>
    <w:basedOn w:val="Normln"/>
    <w:pPr>
      <w:spacing w:before="120" w:after="120"/>
      <w:ind w:left="2279"/>
    </w:pPr>
  </w:style>
  <w:style w:type="paragraph" w:customStyle="1" w:styleId="default">
    <w:name w:val="default"/>
    <w:basedOn w:val="Normln"/>
    <w:pPr>
      <w:autoSpaceDE w:val="0"/>
      <w:autoSpaceDN w:val="0"/>
    </w:pPr>
    <w:rPr>
      <w:rFonts w:ascii="Times New Roman" w:hAnsi="Times New Roman"/>
      <w:color w:val="000000"/>
      <w:sz w:val="24"/>
      <w:szCs w:val="24"/>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 w:type="paragraph" w:styleId="Textbubliny">
    <w:name w:val="Balloon Text"/>
    <w:basedOn w:val="Normln"/>
    <w:link w:val="TextbublinyChar"/>
    <w:uiPriority w:val="99"/>
    <w:semiHidden/>
    <w:unhideWhenUsed/>
    <w:rsid w:val="00E56E1A"/>
    <w:rPr>
      <w:rFonts w:ascii="Tahoma" w:hAnsi="Tahoma" w:cs="Tahoma"/>
      <w:sz w:val="16"/>
      <w:szCs w:val="16"/>
    </w:rPr>
  </w:style>
  <w:style w:type="character" w:customStyle="1" w:styleId="TextbublinyChar">
    <w:name w:val="Text bubliny Char"/>
    <w:link w:val="Textbubliny"/>
    <w:uiPriority w:val="99"/>
    <w:semiHidden/>
    <w:rsid w:val="00E56E1A"/>
    <w:rPr>
      <w:rFonts w:ascii="Tahoma" w:hAnsi="Tahoma" w:cs="Tahoma"/>
      <w:snapToGrid w:val="0"/>
      <w:sz w:val="16"/>
      <w:szCs w:val="16"/>
      <w:lang w:val="en-US" w:eastAsia="en-US"/>
    </w:rPr>
  </w:style>
  <w:style w:type="paragraph" w:styleId="Pedmtkomente">
    <w:name w:val="annotation subject"/>
    <w:basedOn w:val="Textkomente"/>
    <w:next w:val="Textkomente"/>
    <w:link w:val="PedmtkomenteChar"/>
    <w:uiPriority w:val="99"/>
    <w:semiHidden/>
    <w:unhideWhenUsed/>
    <w:rsid w:val="00440F40"/>
    <w:rPr>
      <w:b/>
      <w:bCs/>
    </w:rPr>
  </w:style>
  <w:style w:type="character" w:customStyle="1" w:styleId="TextkomenteChar">
    <w:name w:val="Text komentáře Char"/>
    <w:link w:val="Textkomente"/>
    <w:uiPriority w:val="99"/>
    <w:rsid w:val="00440F40"/>
    <w:rPr>
      <w:rFonts w:ascii="Book Antiqua" w:hAnsi="Book Antiqua"/>
      <w:snapToGrid w:val="0"/>
      <w:lang w:val="en-US" w:eastAsia="en-US"/>
    </w:rPr>
  </w:style>
  <w:style w:type="character" w:customStyle="1" w:styleId="PedmtkomenteChar">
    <w:name w:val="Předmět komentáře Char"/>
    <w:link w:val="Pedmtkomente"/>
    <w:rsid w:val="00440F40"/>
    <w:rPr>
      <w:rFonts w:ascii="Book Antiqua" w:hAnsi="Book Antiqua"/>
      <w:snapToGrid w:val="0"/>
      <w:lang w:val="en-US" w:eastAsia="en-US"/>
    </w:rPr>
  </w:style>
  <w:style w:type="paragraph" w:styleId="Odstavecseseznamem">
    <w:name w:val="List Paragraph"/>
    <w:basedOn w:val="Normln"/>
    <w:uiPriority w:val="34"/>
    <w:qFormat/>
    <w:rsid w:val="00B83B8B"/>
    <w:pPr>
      <w:ind w:left="720"/>
      <w:contextualSpacing/>
    </w:pPr>
  </w:style>
  <w:style w:type="paragraph" w:styleId="Revize">
    <w:name w:val="Revision"/>
    <w:hidden/>
    <w:uiPriority w:val="99"/>
    <w:semiHidden/>
    <w:rsid w:val="007660CC"/>
    <w:rPr>
      <w:rFonts w:ascii="Book Antiqua" w:hAnsi="Book Antiqua"/>
      <w:snapToGrid w:val="0"/>
      <w:sz w:val="22"/>
      <w:szCs w:val="22"/>
      <w:lang w:val="en-US" w:eastAsia="en-US"/>
    </w:rPr>
  </w:style>
  <w:style w:type="paragraph" w:styleId="Textpoznpodarou">
    <w:name w:val="footnote text"/>
    <w:basedOn w:val="Normln"/>
    <w:link w:val="TextpoznpodarouChar"/>
    <w:uiPriority w:val="99"/>
    <w:unhideWhenUsed/>
    <w:rsid w:val="00034DB3"/>
    <w:rPr>
      <w:rFonts w:ascii="Calibri" w:eastAsia="Calibri" w:hAnsi="Calibri"/>
      <w:snapToGrid/>
      <w:lang w:eastAsia="en-GB"/>
    </w:rPr>
  </w:style>
  <w:style w:type="character" w:customStyle="1" w:styleId="TextpoznpodarouChar">
    <w:name w:val="Text pozn. pod čarou Char"/>
    <w:link w:val="Textpoznpodarou"/>
    <w:uiPriority w:val="99"/>
    <w:rsid w:val="00034DB3"/>
    <w:rPr>
      <w:rFonts w:ascii="Calibri" w:eastAsia="Calibri" w:hAnsi="Calibri"/>
      <w:lang w:val="en-US" w:eastAsia="en-GB"/>
    </w:rPr>
  </w:style>
  <w:style w:type="character" w:styleId="Znakapoznpodarou">
    <w:name w:val="footnote reference"/>
    <w:uiPriority w:val="99"/>
    <w:semiHidden/>
    <w:unhideWhenUsed/>
    <w:rsid w:val="00034DB3"/>
    <w:rPr>
      <w:vertAlign w:val="superscript"/>
    </w:rPr>
  </w:style>
  <w:style w:type="character" w:customStyle="1" w:styleId="ZhlavChar">
    <w:name w:val="Záhlaví Char"/>
    <w:link w:val="Zhlav"/>
    <w:semiHidden/>
    <w:rsid w:val="003006BF"/>
    <w:rPr>
      <w:rFonts w:ascii="Book Antiqua" w:hAnsi="Book Antiqua"/>
      <w:snapToGrid w:val="0"/>
      <w:sz w:val="22"/>
      <w:szCs w:val="22"/>
      <w:lang w:val="en-US" w:eastAsia="en-US"/>
    </w:rPr>
  </w:style>
  <w:style w:type="paragraph" w:styleId="Bezmezer">
    <w:name w:val="No Spacing"/>
    <w:uiPriority w:val="1"/>
    <w:qFormat/>
    <w:rsid w:val="0098607C"/>
    <w:pPr>
      <w:spacing w:afterLines="80"/>
      <w:jc w:val="both"/>
    </w:pPr>
    <w:rPr>
      <w:rFonts w:ascii="Arial" w:hAnsi="Arial" w:cs="Arial"/>
      <w:noProof/>
      <w:snapToGrid w:val="0"/>
      <w:lang w:eastAsia="en-US"/>
    </w:rPr>
  </w:style>
  <w:style w:type="character" w:styleId="Nevyeenzmnka">
    <w:name w:val="Unresolved Mention"/>
    <w:uiPriority w:val="99"/>
    <w:semiHidden/>
    <w:unhideWhenUsed/>
    <w:rsid w:val="000774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079099">
      <w:bodyDiv w:val="1"/>
      <w:marLeft w:val="0"/>
      <w:marRight w:val="0"/>
      <w:marTop w:val="0"/>
      <w:marBottom w:val="0"/>
      <w:divBdr>
        <w:top w:val="none" w:sz="0" w:space="0" w:color="auto"/>
        <w:left w:val="none" w:sz="0" w:space="0" w:color="auto"/>
        <w:bottom w:val="none" w:sz="0" w:space="0" w:color="auto"/>
        <w:right w:val="none" w:sz="0" w:space="0" w:color="auto"/>
      </w:divBdr>
    </w:div>
    <w:div w:id="171721796">
      <w:bodyDiv w:val="1"/>
      <w:marLeft w:val="0"/>
      <w:marRight w:val="0"/>
      <w:marTop w:val="0"/>
      <w:marBottom w:val="0"/>
      <w:divBdr>
        <w:top w:val="none" w:sz="0" w:space="0" w:color="auto"/>
        <w:left w:val="none" w:sz="0" w:space="0" w:color="auto"/>
        <w:bottom w:val="none" w:sz="0" w:space="0" w:color="auto"/>
        <w:right w:val="none" w:sz="0" w:space="0" w:color="auto"/>
      </w:divBdr>
    </w:div>
    <w:div w:id="176776745">
      <w:bodyDiv w:val="1"/>
      <w:marLeft w:val="0"/>
      <w:marRight w:val="0"/>
      <w:marTop w:val="0"/>
      <w:marBottom w:val="0"/>
      <w:divBdr>
        <w:top w:val="none" w:sz="0" w:space="0" w:color="auto"/>
        <w:left w:val="none" w:sz="0" w:space="0" w:color="auto"/>
        <w:bottom w:val="none" w:sz="0" w:space="0" w:color="auto"/>
        <w:right w:val="none" w:sz="0" w:space="0" w:color="auto"/>
      </w:divBdr>
    </w:div>
    <w:div w:id="309946754">
      <w:bodyDiv w:val="1"/>
      <w:marLeft w:val="0"/>
      <w:marRight w:val="0"/>
      <w:marTop w:val="0"/>
      <w:marBottom w:val="0"/>
      <w:divBdr>
        <w:top w:val="none" w:sz="0" w:space="0" w:color="auto"/>
        <w:left w:val="none" w:sz="0" w:space="0" w:color="auto"/>
        <w:bottom w:val="none" w:sz="0" w:space="0" w:color="auto"/>
        <w:right w:val="none" w:sz="0" w:space="0" w:color="auto"/>
      </w:divBdr>
    </w:div>
    <w:div w:id="447745254">
      <w:bodyDiv w:val="1"/>
      <w:marLeft w:val="0"/>
      <w:marRight w:val="0"/>
      <w:marTop w:val="0"/>
      <w:marBottom w:val="0"/>
      <w:divBdr>
        <w:top w:val="none" w:sz="0" w:space="0" w:color="auto"/>
        <w:left w:val="none" w:sz="0" w:space="0" w:color="auto"/>
        <w:bottom w:val="none" w:sz="0" w:space="0" w:color="auto"/>
        <w:right w:val="none" w:sz="0" w:space="0" w:color="auto"/>
      </w:divBdr>
      <w:divsChild>
        <w:div w:id="277756739">
          <w:marLeft w:val="0"/>
          <w:marRight w:val="0"/>
          <w:marTop w:val="0"/>
          <w:marBottom w:val="0"/>
          <w:divBdr>
            <w:top w:val="none" w:sz="0" w:space="0" w:color="auto"/>
            <w:left w:val="none" w:sz="0" w:space="0" w:color="auto"/>
            <w:bottom w:val="none" w:sz="0" w:space="0" w:color="auto"/>
            <w:right w:val="none" w:sz="0" w:space="0" w:color="auto"/>
          </w:divBdr>
        </w:div>
        <w:div w:id="1323392250">
          <w:marLeft w:val="0"/>
          <w:marRight w:val="0"/>
          <w:marTop w:val="0"/>
          <w:marBottom w:val="0"/>
          <w:divBdr>
            <w:top w:val="none" w:sz="0" w:space="0" w:color="auto"/>
            <w:left w:val="none" w:sz="0" w:space="0" w:color="auto"/>
            <w:bottom w:val="none" w:sz="0" w:space="0" w:color="auto"/>
            <w:right w:val="none" w:sz="0" w:space="0" w:color="auto"/>
          </w:divBdr>
        </w:div>
      </w:divsChild>
    </w:div>
    <w:div w:id="576595161">
      <w:bodyDiv w:val="1"/>
      <w:marLeft w:val="0"/>
      <w:marRight w:val="0"/>
      <w:marTop w:val="0"/>
      <w:marBottom w:val="0"/>
      <w:divBdr>
        <w:top w:val="none" w:sz="0" w:space="0" w:color="auto"/>
        <w:left w:val="none" w:sz="0" w:space="0" w:color="auto"/>
        <w:bottom w:val="none" w:sz="0" w:space="0" w:color="auto"/>
        <w:right w:val="none" w:sz="0" w:space="0" w:color="auto"/>
      </w:divBdr>
    </w:div>
    <w:div w:id="690229351">
      <w:bodyDiv w:val="1"/>
      <w:marLeft w:val="0"/>
      <w:marRight w:val="0"/>
      <w:marTop w:val="0"/>
      <w:marBottom w:val="0"/>
      <w:divBdr>
        <w:top w:val="none" w:sz="0" w:space="0" w:color="auto"/>
        <w:left w:val="none" w:sz="0" w:space="0" w:color="auto"/>
        <w:bottom w:val="none" w:sz="0" w:space="0" w:color="auto"/>
        <w:right w:val="none" w:sz="0" w:space="0" w:color="auto"/>
      </w:divBdr>
    </w:div>
    <w:div w:id="706759425">
      <w:bodyDiv w:val="1"/>
      <w:marLeft w:val="0"/>
      <w:marRight w:val="0"/>
      <w:marTop w:val="0"/>
      <w:marBottom w:val="0"/>
      <w:divBdr>
        <w:top w:val="none" w:sz="0" w:space="0" w:color="auto"/>
        <w:left w:val="none" w:sz="0" w:space="0" w:color="auto"/>
        <w:bottom w:val="none" w:sz="0" w:space="0" w:color="auto"/>
        <w:right w:val="none" w:sz="0" w:space="0" w:color="auto"/>
      </w:divBdr>
    </w:div>
    <w:div w:id="833421389">
      <w:bodyDiv w:val="1"/>
      <w:marLeft w:val="0"/>
      <w:marRight w:val="0"/>
      <w:marTop w:val="0"/>
      <w:marBottom w:val="0"/>
      <w:divBdr>
        <w:top w:val="none" w:sz="0" w:space="0" w:color="auto"/>
        <w:left w:val="none" w:sz="0" w:space="0" w:color="auto"/>
        <w:bottom w:val="none" w:sz="0" w:space="0" w:color="auto"/>
        <w:right w:val="none" w:sz="0" w:space="0" w:color="auto"/>
      </w:divBdr>
    </w:div>
    <w:div w:id="862784759">
      <w:bodyDiv w:val="1"/>
      <w:marLeft w:val="0"/>
      <w:marRight w:val="0"/>
      <w:marTop w:val="0"/>
      <w:marBottom w:val="0"/>
      <w:divBdr>
        <w:top w:val="none" w:sz="0" w:space="0" w:color="auto"/>
        <w:left w:val="none" w:sz="0" w:space="0" w:color="auto"/>
        <w:bottom w:val="none" w:sz="0" w:space="0" w:color="auto"/>
        <w:right w:val="none" w:sz="0" w:space="0" w:color="auto"/>
      </w:divBdr>
    </w:div>
    <w:div w:id="1090392271">
      <w:bodyDiv w:val="1"/>
      <w:marLeft w:val="0"/>
      <w:marRight w:val="0"/>
      <w:marTop w:val="0"/>
      <w:marBottom w:val="0"/>
      <w:divBdr>
        <w:top w:val="none" w:sz="0" w:space="0" w:color="auto"/>
        <w:left w:val="none" w:sz="0" w:space="0" w:color="auto"/>
        <w:bottom w:val="none" w:sz="0" w:space="0" w:color="auto"/>
        <w:right w:val="none" w:sz="0" w:space="0" w:color="auto"/>
      </w:divBdr>
    </w:div>
    <w:div w:id="1094210410">
      <w:bodyDiv w:val="1"/>
      <w:marLeft w:val="0"/>
      <w:marRight w:val="0"/>
      <w:marTop w:val="0"/>
      <w:marBottom w:val="0"/>
      <w:divBdr>
        <w:top w:val="none" w:sz="0" w:space="0" w:color="auto"/>
        <w:left w:val="none" w:sz="0" w:space="0" w:color="auto"/>
        <w:bottom w:val="none" w:sz="0" w:space="0" w:color="auto"/>
        <w:right w:val="none" w:sz="0" w:space="0" w:color="auto"/>
      </w:divBdr>
    </w:div>
    <w:div w:id="1182552692">
      <w:bodyDiv w:val="1"/>
      <w:marLeft w:val="0"/>
      <w:marRight w:val="0"/>
      <w:marTop w:val="0"/>
      <w:marBottom w:val="0"/>
      <w:divBdr>
        <w:top w:val="none" w:sz="0" w:space="0" w:color="auto"/>
        <w:left w:val="none" w:sz="0" w:space="0" w:color="auto"/>
        <w:bottom w:val="none" w:sz="0" w:space="0" w:color="auto"/>
        <w:right w:val="none" w:sz="0" w:space="0" w:color="auto"/>
      </w:divBdr>
    </w:div>
    <w:div w:id="1355424898">
      <w:bodyDiv w:val="1"/>
      <w:marLeft w:val="0"/>
      <w:marRight w:val="0"/>
      <w:marTop w:val="0"/>
      <w:marBottom w:val="0"/>
      <w:divBdr>
        <w:top w:val="none" w:sz="0" w:space="0" w:color="auto"/>
        <w:left w:val="none" w:sz="0" w:space="0" w:color="auto"/>
        <w:bottom w:val="none" w:sz="0" w:space="0" w:color="auto"/>
        <w:right w:val="none" w:sz="0" w:space="0" w:color="auto"/>
      </w:divBdr>
    </w:div>
    <w:div w:id="1366097961">
      <w:bodyDiv w:val="1"/>
      <w:marLeft w:val="0"/>
      <w:marRight w:val="0"/>
      <w:marTop w:val="0"/>
      <w:marBottom w:val="0"/>
      <w:divBdr>
        <w:top w:val="none" w:sz="0" w:space="0" w:color="auto"/>
        <w:left w:val="none" w:sz="0" w:space="0" w:color="auto"/>
        <w:bottom w:val="none" w:sz="0" w:space="0" w:color="auto"/>
        <w:right w:val="none" w:sz="0" w:space="0" w:color="auto"/>
      </w:divBdr>
    </w:div>
    <w:div w:id="1368751894">
      <w:bodyDiv w:val="1"/>
      <w:marLeft w:val="0"/>
      <w:marRight w:val="0"/>
      <w:marTop w:val="0"/>
      <w:marBottom w:val="0"/>
      <w:divBdr>
        <w:top w:val="none" w:sz="0" w:space="0" w:color="auto"/>
        <w:left w:val="none" w:sz="0" w:space="0" w:color="auto"/>
        <w:bottom w:val="none" w:sz="0" w:space="0" w:color="auto"/>
        <w:right w:val="none" w:sz="0" w:space="0" w:color="auto"/>
      </w:divBdr>
      <w:divsChild>
        <w:div w:id="2097901014">
          <w:marLeft w:val="-1275"/>
          <w:marRight w:val="-1275"/>
          <w:marTop w:val="450"/>
          <w:marBottom w:val="375"/>
          <w:divBdr>
            <w:top w:val="none" w:sz="0" w:space="0" w:color="auto"/>
            <w:left w:val="none" w:sz="0" w:space="0" w:color="auto"/>
            <w:bottom w:val="none" w:sz="0" w:space="0" w:color="auto"/>
            <w:right w:val="none" w:sz="0" w:space="0" w:color="auto"/>
          </w:divBdr>
        </w:div>
      </w:divsChild>
    </w:div>
    <w:div w:id="1379360490">
      <w:bodyDiv w:val="1"/>
      <w:marLeft w:val="0"/>
      <w:marRight w:val="0"/>
      <w:marTop w:val="0"/>
      <w:marBottom w:val="0"/>
      <w:divBdr>
        <w:top w:val="none" w:sz="0" w:space="0" w:color="auto"/>
        <w:left w:val="none" w:sz="0" w:space="0" w:color="auto"/>
        <w:bottom w:val="none" w:sz="0" w:space="0" w:color="auto"/>
        <w:right w:val="none" w:sz="0" w:space="0" w:color="auto"/>
      </w:divBdr>
      <w:divsChild>
        <w:div w:id="711266711">
          <w:marLeft w:val="0"/>
          <w:marRight w:val="0"/>
          <w:marTop w:val="0"/>
          <w:marBottom w:val="0"/>
          <w:divBdr>
            <w:top w:val="none" w:sz="0" w:space="0" w:color="auto"/>
            <w:left w:val="none" w:sz="0" w:space="0" w:color="auto"/>
            <w:bottom w:val="none" w:sz="0" w:space="0" w:color="auto"/>
            <w:right w:val="none" w:sz="0" w:space="0" w:color="auto"/>
          </w:divBdr>
          <w:divsChild>
            <w:div w:id="1748529064">
              <w:marLeft w:val="360"/>
              <w:marRight w:val="0"/>
              <w:marTop w:val="0"/>
              <w:marBottom w:val="600"/>
              <w:divBdr>
                <w:top w:val="none" w:sz="0" w:space="0" w:color="auto"/>
                <w:left w:val="none" w:sz="0" w:space="0" w:color="auto"/>
                <w:bottom w:val="none" w:sz="0" w:space="0" w:color="auto"/>
                <w:right w:val="none" w:sz="0" w:space="0" w:color="auto"/>
              </w:divBdr>
              <w:divsChild>
                <w:div w:id="1204440766">
                  <w:marLeft w:val="0"/>
                  <w:marRight w:val="0"/>
                  <w:marTop w:val="0"/>
                  <w:marBottom w:val="0"/>
                  <w:divBdr>
                    <w:top w:val="none" w:sz="0" w:space="0" w:color="auto"/>
                    <w:left w:val="none" w:sz="0" w:space="0" w:color="auto"/>
                    <w:bottom w:val="none" w:sz="0" w:space="0" w:color="auto"/>
                    <w:right w:val="none" w:sz="0" w:space="0" w:color="auto"/>
                  </w:divBdr>
                  <w:divsChild>
                    <w:div w:id="53635362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384519231">
      <w:bodyDiv w:val="1"/>
      <w:marLeft w:val="0"/>
      <w:marRight w:val="0"/>
      <w:marTop w:val="0"/>
      <w:marBottom w:val="0"/>
      <w:divBdr>
        <w:top w:val="none" w:sz="0" w:space="0" w:color="auto"/>
        <w:left w:val="none" w:sz="0" w:space="0" w:color="auto"/>
        <w:bottom w:val="none" w:sz="0" w:space="0" w:color="auto"/>
        <w:right w:val="none" w:sz="0" w:space="0" w:color="auto"/>
      </w:divBdr>
    </w:div>
    <w:div w:id="1430541474">
      <w:bodyDiv w:val="1"/>
      <w:marLeft w:val="0"/>
      <w:marRight w:val="0"/>
      <w:marTop w:val="0"/>
      <w:marBottom w:val="0"/>
      <w:divBdr>
        <w:top w:val="none" w:sz="0" w:space="0" w:color="auto"/>
        <w:left w:val="none" w:sz="0" w:space="0" w:color="auto"/>
        <w:bottom w:val="none" w:sz="0" w:space="0" w:color="auto"/>
        <w:right w:val="none" w:sz="0" w:space="0" w:color="auto"/>
      </w:divBdr>
    </w:div>
    <w:div w:id="1542210068">
      <w:bodyDiv w:val="1"/>
      <w:marLeft w:val="0"/>
      <w:marRight w:val="0"/>
      <w:marTop w:val="0"/>
      <w:marBottom w:val="0"/>
      <w:divBdr>
        <w:top w:val="none" w:sz="0" w:space="0" w:color="auto"/>
        <w:left w:val="none" w:sz="0" w:space="0" w:color="auto"/>
        <w:bottom w:val="none" w:sz="0" w:space="0" w:color="auto"/>
        <w:right w:val="none" w:sz="0" w:space="0" w:color="auto"/>
      </w:divBdr>
    </w:div>
    <w:div w:id="1599605840">
      <w:bodyDiv w:val="1"/>
      <w:marLeft w:val="0"/>
      <w:marRight w:val="0"/>
      <w:marTop w:val="0"/>
      <w:marBottom w:val="0"/>
      <w:divBdr>
        <w:top w:val="none" w:sz="0" w:space="0" w:color="auto"/>
        <w:left w:val="none" w:sz="0" w:space="0" w:color="auto"/>
        <w:bottom w:val="none" w:sz="0" w:space="0" w:color="auto"/>
        <w:right w:val="none" w:sz="0" w:space="0" w:color="auto"/>
      </w:divBdr>
    </w:div>
    <w:div w:id="1619754655">
      <w:bodyDiv w:val="1"/>
      <w:marLeft w:val="0"/>
      <w:marRight w:val="0"/>
      <w:marTop w:val="0"/>
      <w:marBottom w:val="0"/>
      <w:divBdr>
        <w:top w:val="none" w:sz="0" w:space="0" w:color="auto"/>
        <w:left w:val="none" w:sz="0" w:space="0" w:color="auto"/>
        <w:bottom w:val="none" w:sz="0" w:space="0" w:color="auto"/>
        <w:right w:val="none" w:sz="0" w:space="0" w:color="auto"/>
      </w:divBdr>
    </w:div>
    <w:div w:id="1629123575">
      <w:bodyDiv w:val="1"/>
      <w:marLeft w:val="0"/>
      <w:marRight w:val="0"/>
      <w:marTop w:val="0"/>
      <w:marBottom w:val="0"/>
      <w:divBdr>
        <w:top w:val="none" w:sz="0" w:space="0" w:color="auto"/>
        <w:left w:val="none" w:sz="0" w:space="0" w:color="auto"/>
        <w:bottom w:val="none" w:sz="0" w:space="0" w:color="auto"/>
        <w:right w:val="none" w:sz="0" w:space="0" w:color="auto"/>
      </w:divBdr>
    </w:div>
    <w:div w:id="1635410308">
      <w:bodyDiv w:val="1"/>
      <w:marLeft w:val="0"/>
      <w:marRight w:val="0"/>
      <w:marTop w:val="0"/>
      <w:marBottom w:val="0"/>
      <w:divBdr>
        <w:top w:val="none" w:sz="0" w:space="0" w:color="auto"/>
        <w:left w:val="none" w:sz="0" w:space="0" w:color="auto"/>
        <w:bottom w:val="none" w:sz="0" w:space="0" w:color="auto"/>
        <w:right w:val="none" w:sz="0" w:space="0" w:color="auto"/>
      </w:divBdr>
    </w:div>
    <w:div w:id="1744982908">
      <w:bodyDiv w:val="1"/>
      <w:marLeft w:val="0"/>
      <w:marRight w:val="0"/>
      <w:marTop w:val="0"/>
      <w:marBottom w:val="0"/>
      <w:divBdr>
        <w:top w:val="none" w:sz="0" w:space="0" w:color="auto"/>
        <w:left w:val="none" w:sz="0" w:space="0" w:color="auto"/>
        <w:bottom w:val="none" w:sz="0" w:space="0" w:color="auto"/>
        <w:right w:val="none" w:sz="0" w:space="0" w:color="auto"/>
      </w:divBdr>
      <w:divsChild>
        <w:div w:id="2136561883">
          <w:marLeft w:val="0"/>
          <w:marRight w:val="0"/>
          <w:marTop w:val="0"/>
          <w:marBottom w:val="0"/>
          <w:divBdr>
            <w:top w:val="none" w:sz="0" w:space="0" w:color="auto"/>
            <w:left w:val="none" w:sz="0" w:space="0" w:color="auto"/>
            <w:bottom w:val="none" w:sz="0" w:space="0" w:color="auto"/>
            <w:right w:val="none" w:sz="0" w:space="0" w:color="auto"/>
          </w:divBdr>
        </w:div>
        <w:div w:id="1903982851">
          <w:marLeft w:val="0"/>
          <w:marRight w:val="0"/>
          <w:marTop w:val="0"/>
          <w:marBottom w:val="0"/>
          <w:divBdr>
            <w:top w:val="none" w:sz="0" w:space="0" w:color="auto"/>
            <w:left w:val="none" w:sz="0" w:space="0" w:color="auto"/>
            <w:bottom w:val="none" w:sz="0" w:space="0" w:color="auto"/>
            <w:right w:val="none" w:sz="0" w:space="0" w:color="auto"/>
          </w:divBdr>
        </w:div>
        <w:div w:id="76294876">
          <w:marLeft w:val="0"/>
          <w:marRight w:val="0"/>
          <w:marTop w:val="0"/>
          <w:marBottom w:val="0"/>
          <w:divBdr>
            <w:top w:val="none" w:sz="0" w:space="0" w:color="auto"/>
            <w:left w:val="none" w:sz="0" w:space="0" w:color="auto"/>
            <w:bottom w:val="none" w:sz="0" w:space="0" w:color="auto"/>
            <w:right w:val="none" w:sz="0" w:space="0" w:color="auto"/>
          </w:divBdr>
        </w:div>
        <w:div w:id="1600871312">
          <w:marLeft w:val="0"/>
          <w:marRight w:val="0"/>
          <w:marTop w:val="0"/>
          <w:marBottom w:val="0"/>
          <w:divBdr>
            <w:top w:val="none" w:sz="0" w:space="0" w:color="auto"/>
            <w:left w:val="none" w:sz="0" w:space="0" w:color="auto"/>
            <w:bottom w:val="none" w:sz="0" w:space="0" w:color="auto"/>
            <w:right w:val="none" w:sz="0" w:space="0" w:color="auto"/>
          </w:divBdr>
        </w:div>
        <w:div w:id="1405371208">
          <w:marLeft w:val="0"/>
          <w:marRight w:val="0"/>
          <w:marTop w:val="0"/>
          <w:marBottom w:val="0"/>
          <w:divBdr>
            <w:top w:val="none" w:sz="0" w:space="0" w:color="auto"/>
            <w:left w:val="none" w:sz="0" w:space="0" w:color="auto"/>
            <w:bottom w:val="none" w:sz="0" w:space="0" w:color="auto"/>
            <w:right w:val="none" w:sz="0" w:space="0" w:color="auto"/>
          </w:divBdr>
        </w:div>
        <w:div w:id="835455715">
          <w:marLeft w:val="0"/>
          <w:marRight w:val="0"/>
          <w:marTop w:val="0"/>
          <w:marBottom w:val="0"/>
          <w:divBdr>
            <w:top w:val="none" w:sz="0" w:space="0" w:color="auto"/>
            <w:left w:val="none" w:sz="0" w:space="0" w:color="auto"/>
            <w:bottom w:val="none" w:sz="0" w:space="0" w:color="auto"/>
            <w:right w:val="none" w:sz="0" w:space="0" w:color="auto"/>
          </w:divBdr>
        </w:div>
        <w:div w:id="946540906">
          <w:marLeft w:val="0"/>
          <w:marRight w:val="0"/>
          <w:marTop w:val="0"/>
          <w:marBottom w:val="0"/>
          <w:divBdr>
            <w:top w:val="none" w:sz="0" w:space="0" w:color="auto"/>
            <w:left w:val="none" w:sz="0" w:space="0" w:color="auto"/>
            <w:bottom w:val="none" w:sz="0" w:space="0" w:color="auto"/>
            <w:right w:val="none" w:sz="0" w:space="0" w:color="auto"/>
          </w:divBdr>
        </w:div>
        <w:div w:id="304773941">
          <w:marLeft w:val="0"/>
          <w:marRight w:val="0"/>
          <w:marTop w:val="0"/>
          <w:marBottom w:val="0"/>
          <w:divBdr>
            <w:top w:val="none" w:sz="0" w:space="0" w:color="auto"/>
            <w:left w:val="none" w:sz="0" w:space="0" w:color="auto"/>
            <w:bottom w:val="none" w:sz="0" w:space="0" w:color="auto"/>
            <w:right w:val="none" w:sz="0" w:space="0" w:color="auto"/>
          </w:divBdr>
        </w:div>
        <w:div w:id="1373531183">
          <w:marLeft w:val="0"/>
          <w:marRight w:val="0"/>
          <w:marTop w:val="0"/>
          <w:marBottom w:val="0"/>
          <w:divBdr>
            <w:top w:val="none" w:sz="0" w:space="0" w:color="auto"/>
            <w:left w:val="none" w:sz="0" w:space="0" w:color="auto"/>
            <w:bottom w:val="none" w:sz="0" w:space="0" w:color="auto"/>
            <w:right w:val="none" w:sz="0" w:space="0" w:color="auto"/>
          </w:divBdr>
        </w:div>
        <w:div w:id="1789350404">
          <w:marLeft w:val="0"/>
          <w:marRight w:val="0"/>
          <w:marTop w:val="0"/>
          <w:marBottom w:val="0"/>
          <w:divBdr>
            <w:top w:val="none" w:sz="0" w:space="0" w:color="auto"/>
            <w:left w:val="none" w:sz="0" w:space="0" w:color="auto"/>
            <w:bottom w:val="none" w:sz="0" w:space="0" w:color="auto"/>
            <w:right w:val="none" w:sz="0" w:space="0" w:color="auto"/>
          </w:divBdr>
        </w:div>
        <w:div w:id="1998608699">
          <w:marLeft w:val="0"/>
          <w:marRight w:val="0"/>
          <w:marTop w:val="0"/>
          <w:marBottom w:val="0"/>
          <w:divBdr>
            <w:top w:val="none" w:sz="0" w:space="0" w:color="auto"/>
            <w:left w:val="none" w:sz="0" w:space="0" w:color="auto"/>
            <w:bottom w:val="none" w:sz="0" w:space="0" w:color="auto"/>
            <w:right w:val="none" w:sz="0" w:space="0" w:color="auto"/>
          </w:divBdr>
        </w:div>
        <w:div w:id="1291667381">
          <w:marLeft w:val="0"/>
          <w:marRight w:val="0"/>
          <w:marTop w:val="0"/>
          <w:marBottom w:val="0"/>
          <w:divBdr>
            <w:top w:val="none" w:sz="0" w:space="0" w:color="auto"/>
            <w:left w:val="none" w:sz="0" w:space="0" w:color="auto"/>
            <w:bottom w:val="none" w:sz="0" w:space="0" w:color="auto"/>
            <w:right w:val="none" w:sz="0" w:space="0" w:color="auto"/>
          </w:divBdr>
        </w:div>
        <w:div w:id="221067543">
          <w:marLeft w:val="0"/>
          <w:marRight w:val="0"/>
          <w:marTop w:val="0"/>
          <w:marBottom w:val="0"/>
          <w:divBdr>
            <w:top w:val="none" w:sz="0" w:space="0" w:color="auto"/>
            <w:left w:val="none" w:sz="0" w:space="0" w:color="auto"/>
            <w:bottom w:val="none" w:sz="0" w:space="0" w:color="auto"/>
            <w:right w:val="none" w:sz="0" w:space="0" w:color="auto"/>
          </w:divBdr>
        </w:div>
        <w:div w:id="1061908679">
          <w:marLeft w:val="0"/>
          <w:marRight w:val="0"/>
          <w:marTop w:val="0"/>
          <w:marBottom w:val="0"/>
          <w:divBdr>
            <w:top w:val="none" w:sz="0" w:space="0" w:color="auto"/>
            <w:left w:val="none" w:sz="0" w:space="0" w:color="auto"/>
            <w:bottom w:val="none" w:sz="0" w:space="0" w:color="auto"/>
            <w:right w:val="none" w:sz="0" w:space="0" w:color="auto"/>
          </w:divBdr>
        </w:div>
        <w:div w:id="862288437">
          <w:marLeft w:val="0"/>
          <w:marRight w:val="0"/>
          <w:marTop w:val="0"/>
          <w:marBottom w:val="0"/>
          <w:divBdr>
            <w:top w:val="none" w:sz="0" w:space="0" w:color="auto"/>
            <w:left w:val="none" w:sz="0" w:space="0" w:color="auto"/>
            <w:bottom w:val="none" w:sz="0" w:space="0" w:color="auto"/>
            <w:right w:val="none" w:sz="0" w:space="0" w:color="auto"/>
          </w:divBdr>
        </w:div>
        <w:div w:id="1880818072">
          <w:marLeft w:val="0"/>
          <w:marRight w:val="0"/>
          <w:marTop w:val="0"/>
          <w:marBottom w:val="0"/>
          <w:divBdr>
            <w:top w:val="none" w:sz="0" w:space="0" w:color="auto"/>
            <w:left w:val="none" w:sz="0" w:space="0" w:color="auto"/>
            <w:bottom w:val="none" w:sz="0" w:space="0" w:color="auto"/>
            <w:right w:val="none" w:sz="0" w:space="0" w:color="auto"/>
          </w:divBdr>
        </w:div>
        <w:div w:id="1032609195">
          <w:marLeft w:val="0"/>
          <w:marRight w:val="0"/>
          <w:marTop w:val="0"/>
          <w:marBottom w:val="0"/>
          <w:divBdr>
            <w:top w:val="none" w:sz="0" w:space="0" w:color="auto"/>
            <w:left w:val="none" w:sz="0" w:space="0" w:color="auto"/>
            <w:bottom w:val="none" w:sz="0" w:space="0" w:color="auto"/>
            <w:right w:val="none" w:sz="0" w:space="0" w:color="auto"/>
          </w:divBdr>
        </w:div>
        <w:div w:id="322860912">
          <w:marLeft w:val="0"/>
          <w:marRight w:val="0"/>
          <w:marTop w:val="0"/>
          <w:marBottom w:val="0"/>
          <w:divBdr>
            <w:top w:val="none" w:sz="0" w:space="0" w:color="auto"/>
            <w:left w:val="none" w:sz="0" w:space="0" w:color="auto"/>
            <w:bottom w:val="none" w:sz="0" w:space="0" w:color="auto"/>
            <w:right w:val="none" w:sz="0" w:space="0" w:color="auto"/>
          </w:divBdr>
        </w:div>
        <w:div w:id="785588552">
          <w:marLeft w:val="0"/>
          <w:marRight w:val="0"/>
          <w:marTop w:val="0"/>
          <w:marBottom w:val="0"/>
          <w:divBdr>
            <w:top w:val="none" w:sz="0" w:space="0" w:color="auto"/>
            <w:left w:val="none" w:sz="0" w:space="0" w:color="auto"/>
            <w:bottom w:val="none" w:sz="0" w:space="0" w:color="auto"/>
            <w:right w:val="none" w:sz="0" w:space="0" w:color="auto"/>
          </w:divBdr>
        </w:div>
        <w:div w:id="1717468238">
          <w:marLeft w:val="0"/>
          <w:marRight w:val="0"/>
          <w:marTop w:val="0"/>
          <w:marBottom w:val="0"/>
          <w:divBdr>
            <w:top w:val="none" w:sz="0" w:space="0" w:color="auto"/>
            <w:left w:val="none" w:sz="0" w:space="0" w:color="auto"/>
            <w:bottom w:val="none" w:sz="0" w:space="0" w:color="auto"/>
            <w:right w:val="none" w:sz="0" w:space="0" w:color="auto"/>
          </w:divBdr>
        </w:div>
        <w:div w:id="1983196345">
          <w:marLeft w:val="0"/>
          <w:marRight w:val="0"/>
          <w:marTop w:val="0"/>
          <w:marBottom w:val="0"/>
          <w:divBdr>
            <w:top w:val="none" w:sz="0" w:space="0" w:color="auto"/>
            <w:left w:val="none" w:sz="0" w:space="0" w:color="auto"/>
            <w:bottom w:val="none" w:sz="0" w:space="0" w:color="auto"/>
            <w:right w:val="none" w:sz="0" w:space="0" w:color="auto"/>
          </w:divBdr>
        </w:div>
        <w:div w:id="958217707">
          <w:marLeft w:val="0"/>
          <w:marRight w:val="0"/>
          <w:marTop w:val="0"/>
          <w:marBottom w:val="0"/>
          <w:divBdr>
            <w:top w:val="none" w:sz="0" w:space="0" w:color="auto"/>
            <w:left w:val="none" w:sz="0" w:space="0" w:color="auto"/>
            <w:bottom w:val="none" w:sz="0" w:space="0" w:color="auto"/>
            <w:right w:val="none" w:sz="0" w:space="0" w:color="auto"/>
          </w:divBdr>
        </w:div>
        <w:div w:id="1861702555">
          <w:marLeft w:val="0"/>
          <w:marRight w:val="0"/>
          <w:marTop w:val="0"/>
          <w:marBottom w:val="0"/>
          <w:divBdr>
            <w:top w:val="none" w:sz="0" w:space="0" w:color="auto"/>
            <w:left w:val="none" w:sz="0" w:space="0" w:color="auto"/>
            <w:bottom w:val="none" w:sz="0" w:space="0" w:color="auto"/>
            <w:right w:val="none" w:sz="0" w:space="0" w:color="auto"/>
          </w:divBdr>
        </w:div>
        <w:div w:id="90399872">
          <w:marLeft w:val="0"/>
          <w:marRight w:val="0"/>
          <w:marTop w:val="0"/>
          <w:marBottom w:val="0"/>
          <w:divBdr>
            <w:top w:val="none" w:sz="0" w:space="0" w:color="auto"/>
            <w:left w:val="none" w:sz="0" w:space="0" w:color="auto"/>
            <w:bottom w:val="none" w:sz="0" w:space="0" w:color="auto"/>
            <w:right w:val="none" w:sz="0" w:space="0" w:color="auto"/>
          </w:divBdr>
        </w:div>
        <w:div w:id="679966543">
          <w:marLeft w:val="0"/>
          <w:marRight w:val="0"/>
          <w:marTop w:val="0"/>
          <w:marBottom w:val="0"/>
          <w:divBdr>
            <w:top w:val="none" w:sz="0" w:space="0" w:color="auto"/>
            <w:left w:val="none" w:sz="0" w:space="0" w:color="auto"/>
            <w:bottom w:val="none" w:sz="0" w:space="0" w:color="auto"/>
            <w:right w:val="none" w:sz="0" w:space="0" w:color="auto"/>
          </w:divBdr>
        </w:div>
        <w:div w:id="867572968">
          <w:marLeft w:val="0"/>
          <w:marRight w:val="0"/>
          <w:marTop w:val="0"/>
          <w:marBottom w:val="0"/>
          <w:divBdr>
            <w:top w:val="none" w:sz="0" w:space="0" w:color="auto"/>
            <w:left w:val="none" w:sz="0" w:space="0" w:color="auto"/>
            <w:bottom w:val="none" w:sz="0" w:space="0" w:color="auto"/>
            <w:right w:val="none" w:sz="0" w:space="0" w:color="auto"/>
          </w:divBdr>
        </w:div>
        <w:div w:id="200871385">
          <w:marLeft w:val="0"/>
          <w:marRight w:val="0"/>
          <w:marTop w:val="0"/>
          <w:marBottom w:val="0"/>
          <w:divBdr>
            <w:top w:val="none" w:sz="0" w:space="0" w:color="auto"/>
            <w:left w:val="none" w:sz="0" w:space="0" w:color="auto"/>
            <w:bottom w:val="none" w:sz="0" w:space="0" w:color="auto"/>
            <w:right w:val="none" w:sz="0" w:space="0" w:color="auto"/>
          </w:divBdr>
        </w:div>
        <w:div w:id="1223906224">
          <w:marLeft w:val="0"/>
          <w:marRight w:val="0"/>
          <w:marTop w:val="0"/>
          <w:marBottom w:val="0"/>
          <w:divBdr>
            <w:top w:val="none" w:sz="0" w:space="0" w:color="auto"/>
            <w:left w:val="none" w:sz="0" w:space="0" w:color="auto"/>
            <w:bottom w:val="none" w:sz="0" w:space="0" w:color="auto"/>
            <w:right w:val="none" w:sz="0" w:space="0" w:color="auto"/>
          </w:divBdr>
        </w:div>
        <w:div w:id="954363949">
          <w:marLeft w:val="0"/>
          <w:marRight w:val="0"/>
          <w:marTop w:val="0"/>
          <w:marBottom w:val="0"/>
          <w:divBdr>
            <w:top w:val="none" w:sz="0" w:space="0" w:color="auto"/>
            <w:left w:val="none" w:sz="0" w:space="0" w:color="auto"/>
            <w:bottom w:val="none" w:sz="0" w:space="0" w:color="auto"/>
            <w:right w:val="none" w:sz="0" w:space="0" w:color="auto"/>
          </w:divBdr>
        </w:div>
        <w:div w:id="340160609">
          <w:marLeft w:val="0"/>
          <w:marRight w:val="0"/>
          <w:marTop w:val="0"/>
          <w:marBottom w:val="0"/>
          <w:divBdr>
            <w:top w:val="none" w:sz="0" w:space="0" w:color="auto"/>
            <w:left w:val="none" w:sz="0" w:space="0" w:color="auto"/>
            <w:bottom w:val="none" w:sz="0" w:space="0" w:color="auto"/>
            <w:right w:val="none" w:sz="0" w:space="0" w:color="auto"/>
          </w:divBdr>
        </w:div>
        <w:div w:id="1685403503">
          <w:marLeft w:val="0"/>
          <w:marRight w:val="0"/>
          <w:marTop w:val="0"/>
          <w:marBottom w:val="0"/>
          <w:divBdr>
            <w:top w:val="none" w:sz="0" w:space="0" w:color="auto"/>
            <w:left w:val="none" w:sz="0" w:space="0" w:color="auto"/>
            <w:bottom w:val="none" w:sz="0" w:space="0" w:color="auto"/>
            <w:right w:val="none" w:sz="0" w:space="0" w:color="auto"/>
          </w:divBdr>
        </w:div>
        <w:div w:id="604655202">
          <w:marLeft w:val="0"/>
          <w:marRight w:val="0"/>
          <w:marTop w:val="0"/>
          <w:marBottom w:val="0"/>
          <w:divBdr>
            <w:top w:val="none" w:sz="0" w:space="0" w:color="auto"/>
            <w:left w:val="none" w:sz="0" w:space="0" w:color="auto"/>
            <w:bottom w:val="none" w:sz="0" w:space="0" w:color="auto"/>
            <w:right w:val="none" w:sz="0" w:space="0" w:color="auto"/>
          </w:divBdr>
        </w:div>
        <w:div w:id="446970564">
          <w:marLeft w:val="0"/>
          <w:marRight w:val="0"/>
          <w:marTop w:val="0"/>
          <w:marBottom w:val="0"/>
          <w:divBdr>
            <w:top w:val="none" w:sz="0" w:space="0" w:color="auto"/>
            <w:left w:val="none" w:sz="0" w:space="0" w:color="auto"/>
            <w:bottom w:val="none" w:sz="0" w:space="0" w:color="auto"/>
            <w:right w:val="none" w:sz="0" w:space="0" w:color="auto"/>
          </w:divBdr>
        </w:div>
        <w:div w:id="2107653361">
          <w:marLeft w:val="0"/>
          <w:marRight w:val="0"/>
          <w:marTop w:val="0"/>
          <w:marBottom w:val="0"/>
          <w:divBdr>
            <w:top w:val="none" w:sz="0" w:space="0" w:color="auto"/>
            <w:left w:val="none" w:sz="0" w:space="0" w:color="auto"/>
            <w:bottom w:val="none" w:sz="0" w:space="0" w:color="auto"/>
            <w:right w:val="none" w:sz="0" w:space="0" w:color="auto"/>
          </w:divBdr>
        </w:div>
        <w:div w:id="248660164">
          <w:marLeft w:val="0"/>
          <w:marRight w:val="0"/>
          <w:marTop w:val="0"/>
          <w:marBottom w:val="0"/>
          <w:divBdr>
            <w:top w:val="none" w:sz="0" w:space="0" w:color="auto"/>
            <w:left w:val="none" w:sz="0" w:space="0" w:color="auto"/>
            <w:bottom w:val="none" w:sz="0" w:space="0" w:color="auto"/>
            <w:right w:val="none" w:sz="0" w:space="0" w:color="auto"/>
          </w:divBdr>
        </w:div>
        <w:div w:id="723286686">
          <w:marLeft w:val="0"/>
          <w:marRight w:val="0"/>
          <w:marTop w:val="0"/>
          <w:marBottom w:val="0"/>
          <w:divBdr>
            <w:top w:val="none" w:sz="0" w:space="0" w:color="auto"/>
            <w:left w:val="none" w:sz="0" w:space="0" w:color="auto"/>
            <w:bottom w:val="none" w:sz="0" w:space="0" w:color="auto"/>
            <w:right w:val="none" w:sz="0" w:space="0" w:color="auto"/>
          </w:divBdr>
        </w:div>
        <w:div w:id="861434283">
          <w:marLeft w:val="0"/>
          <w:marRight w:val="0"/>
          <w:marTop w:val="0"/>
          <w:marBottom w:val="0"/>
          <w:divBdr>
            <w:top w:val="none" w:sz="0" w:space="0" w:color="auto"/>
            <w:left w:val="none" w:sz="0" w:space="0" w:color="auto"/>
            <w:bottom w:val="none" w:sz="0" w:space="0" w:color="auto"/>
            <w:right w:val="none" w:sz="0" w:space="0" w:color="auto"/>
          </w:divBdr>
        </w:div>
        <w:div w:id="1320891029">
          <w:marLeft w:val="0"/>
          <w:marRight w:val="0"/>
          <w:marTop w:val="0"/>
          <w:marBottom w:val="0"/>
          <w:divBdr>
            <w:top w:val="none" w:sz="0" w:space="0" w:color="auto"/>
            <w:left w:val="none" w:sz="0" w:space="0" w:color="auto"/>
            <w:bottom w:val="none" w:sz="0" w:space="0" w:color="auto"/>
            <w:right w:val="none" w:sz="0" w:space="0" w:color="auto"/>
          </w:divBdr>
        </w:div>
        <w:div w:id="332606943">
          <w:marLeft w:val="0"/>
          <w:marRight w:val="0"/>
          <w:marTop w:val="0"/>
          <w:marBottom w:val="0"/>
          <w:divBdr>
            <w:top w:val="none" w:sz="0" w:space="0" w:color="auto"/>
            <w:left w:val="none" w:sz="0" w:space="0" w:color="auto"/>
            <w:bottom w:val="none" w:sz="0" w:space="0" w:color="auto"/>
            <w:right w:val="none" w:sz="0" w:space="0" w:color="auto"/>
          </w:divBdr>
        </w:div>
        <w:div w:id="1585217204">
          <w:marLeft w:val="0"/>
          <w:marRight w:val="0"/>
          <w:marTop w:val="0"/>
          <w:marBottom w:val="0"/>
          <w:divBdr>
            <w:top w:val="none" w:sz="0" w:space="0" w:color="auto"/>
            <w:left w:val="none" w:sz="0" w:space="0" w:color="auto"/>
            <w:bottom w:val="none" w:sz="0" w:space="0" w:color="auto"/>
            <w:right w:val="none" w:sz="0" w:space="0" w:color="auto"/>
          </w:divBdr>
        </w:div>
        <w:div w:id="1908760856">
          <w:marLeft w:val="0"/>
          <w:marRight w:val="0"/>
          <w:marTop w:val="0"/>
          <w:marBottom w:val="0"/>
          <w:divBdr>
            <w:top w:val="none" w:sz="0" w:space="0" w:color="auto"/>
            <w:left w:val="none" w:sz="0" w:space="0" w:color="auto"/>
            <w:bottom w:val="none" w:sz="0" w:space="0" w:color="auto"/>
            <w:right w:val="none" w:sz="0" w:space="0" w:color="auto"/>
          </w:divBdr>
        </w:div>
        <w:div w:id="1749375469">
          <w:marLeft w:val="0"/>
          <w:marRight w:val="0"/>
          <w:marTop w:val="0"/>
          <w:marBottom w:val="0"/>
          <w:divBdr>
            <w:top w:val="none" w:sz="0" w:space="0" w:color="auto"/>
            <w:left w:val="none" w:sz="0" w:space="0" w:color="auto"/>
            <w:bottom w:val="none" w:sz="0" w:space="0" w:color="auto"/>
            <w:right w:val="none" w:sz="0" w:space="0" w:color="auto"/>
          </w:divBdr>
        </w:div>
        <w:div w:id="89200281">
          <w:marLeft w:val="0"/>
          <w:marRight w:val="0"/>
          <w:marTop w:val="0"/>
          <w:marBottom w:val="0"/>
          <w:divBdr>
            <w:top w:val="none" w:sz="0" w:space="0" w:color="auto"/>
            <w:left w:val="none" w:sz="0" w:space="0" w:color="auto"/>
            <w:bottom w:val="none" w:sz="0" w:space="0" w:color="auto"/>
            <w:right w:val="none" w:sz="0" w:space="0" w:color="auto"/>
          </w:divBdr>
        </w:div>
        <w:div w:id="2125536091">
          <w:marLeft w:val="0"/>
          <w:marRight w:val="0"/>
          <w:marTop w:val="0"/>
          <w:marBottom w:val="0"/>
          <w:divBdr>
            <w:top w:val="none" w:sz="0" w:space="0" w:color="auto"/>
            <w:left w:val="none" w:sz="0" w:space="0" w:color="auto"/>
            <w:bottom w:val="none" w:sz="0" w:space="0" w:color="auto"/>
            <w:right w:val="none" w:sz="0" w:space="0" w:color="auto"/>
          </w:divBdr>
        </w:div>
        <w:div w:id="1866480445">
          <w:marLeft w:val="0"/>
          <w:marRight w:val="0"/>
          <w:marTop w:val="0"/>
          <w:marBottom w:val="0"/>
          <w:divBdr>
            <w:top w:val="none" w:sz="0" w:space="0" w:color="auto"/>
            <w:left w:val="none" w:sz="0" w:space="0" w:color="auto"/>
            <w:bottom w:val="none" w:sz="0" w:space="0" w:color="auto"/>
            <w:right w:val="none" w:sz="0" w:space="0" w:color="auto"/>
          </w:divBdr>
        </w:div>
        <w:div w:id="900363978">
          <w:marLeft w:val="0"/>
          <w:marRight w:val="0"/>
          <w:marTop w:val="0"/>
          <w:marBottom w:val="0"/>
          <w:divBdr>
            <w:top w:val="none" w:sz="0" w:space="0" w:color="auto"/>
            <w:left w:val="none" w:sz="0" w:space="0" w:color="auto"/>
            <w:bottom w:val="none" w:sz="0" w:space="0" w:color="auto"/>
            <w:right w:val="none" w:sz="0" w:space="0" w:color="auto"/>
          </w:divBdr>
        </w:div>
        <w:div w:id="1002391390">
          <w:marLeft w:val="0"/>
          <w:marRight w:val="0"/>
          <w:marTop w:val="0"/>
          <w:marBottom w:val="0"/>
          <w:divBdr>
            <w:top w:val="none" w:sz="0" w:space="0" w:color="auto"/>
            <w:left w:val="none" w:sz="0" w:space="0" w:color="auto"/>
            <w:bottom w:val="none" w:sz="0" w:space="0" w:color="auto"/>
            <w:right w:val="none" w:sz="0" w:space="0" w:color="auto"/>
          </w:divBdr>
        </w:div>
        <w:div w:id="258873903">
          <w:marLeft w:val="0"/>
          <w:marRight w:val="0"/>
          <w:marTop w:val="0"/>
          <w:marBottom w:val="0"/>
          <w:divBdr>
            <w:top w:val="none" w:sz="0" w:space="0" w:color="auto"/>
            <w:left w:val="none" w:sz="0" w:space="0" w:color="auto"/>
            <w:bottom w:val="none" w:sz="0" w:space="0" w:color="auto"/>
            <w:right w:val="none" w:sz="0" w:space="0" w:color="auto"/>
          </w:divBdr>
        </w:div>
        <w:div w:id="202253484">
          <w:marLeft w:val="0"/>
          <w:marRight w:val="0"/>
          <w:marTop w:val="0"/>
          <w:marBottom w:val="0"/>
          <w:divBdr>
            <w:top w:val="none" w:sz="0" w:space="0" w:color="auto"/>
            <w:left w:val="none" w:sz="0" w:space="0" w:color="auto"/>
            <w:bottom w:val="none" w:sz="0" w:space="0" w:color="auto"/>
            <w:right w:val="none" w:sz="0" w:space="0" w:color="auto"/>
          </w:divBdr>
        </w:div>
        <w:div w:id="1739863605">
          <w:marLeft w:val="0"/>
          <w:marRight w:val="0"/>
          <w:marTop w:val="0"/>
          <w:marBottom w:val="0"/>
          <w:divBdr>
            <w:top w:val="none" w:sz="0" w:space="0" w:color="auto"/>
            <w:left w:val="none" w:sz="0" w:space="0" w:color="auto"/>
            <w:bottom w:val="none" w:sz="0" w:space="0" w:color="auto"/>
            <w:right w:val="none" w:sz="0" w:space="0" w:color="auto"/>
          </w:divBdr>
        </w:div>
        <w:div w:id="885607322">
          <w:marLeft w:val="0"/>
          <w:marRight w:val="0"/>
          <w:marTop w:val="0"/>
          <w:marBottom w:val="0"/>
          <w:divBdr>
            <w:top w:val="none" w:sz="0" w:space="0" w:color="auto"/>
            <w:left w:val="none" w:sz="0" w:space="0" w:color="auto"/>
            <w:bottom w:val="none" w:sz="0" w:space="0" w:color="auto"/>
            <w:right w:val="none" w:sz="0" w:space="0" w:color="auto"/>
          </w:divBdr>
        </w:div>
      </w:divsChild>
    </w:div>
    <w:div w:id="1775055075">
      <w:bodyDiv w:val="1"/>
      <w:marLeft w:val="0"/>
      <w:marRight w:val="0"/>
      <w:marTop w:val="0"/>
      <w:marBottom w:val="0"/>
      <w:divBdr>
        <w:top w:val="none" w:sz="0" w:space="0" w:color="auto"/>
        <w:left w:val="none" w:sz="0" w:space="0" w:color="auto"/>
        <w:bottom w:val="none" w:sz="0" w:space="0" w:color="auto"/>
        <w:right w:val="none" w:sz="0" w:space="0" w:color="auto"/>
      </w:divBdr>
    </w:div>
    <w:div w:id="1833642632">
      <w:bodyDiv w:val="1"/>
      <w:marLeft w:val="0"/>
      <w:marRight w:val="0"/>
      <w:marTop w:val="0"/>
      <w:marBottom w:val="0"/>
      <w:divBdr>
        <w:top w:val="none" w:sz="0" w:space="0" w:color="auto"/>
        <w:left w:val="none" w:sz="0" w:space="0" w:color="auto"/>
        <w:bottom w:val="none" w:sz="0" w:space="0" w:color="auto"/>
        <w:right w:val="none" w:sz="0" w:space="0" w:color="auto"/>
      </w:divBdr>
      <w:divsChild>
        <w:div w:id="1769156491">
          <w:marLeft w:val="-1275"/>
          <w:marRight w:val="-1275"/>
          <w:marTop w:val="450"/>
          <w:marBottom w:val="375"/>
          <w:divBdr>
            <w:top w:val="none" w:sz="0" w:space="0" w:color="auto"/>
            <w:left w:val="none" w:sz="0" w:space="0" w:color="auto"/>
            <w:bottom w:val="none" w:sz="0" w:space="0" w:color="auto"/>
            <w:right w:val="none" w:sz="0" w:space="0" w:color="auto"/>
          </w:divBdr>
        </w:div>
      </w:divsChild>
    </w:div>
    <w:div w:id="1840777748">
      <w:bodyDiv w:val="1"/>
      <w:marLeft w:val="0"/>
      <w:marRight w:val="0"/>
      <w:marTop w:val="0"/>
      <w:marBottom w:val="0"/>
      <w:divBdr>
        <w:top w:val="none" w:sz="0" w:space="0" w:color="auto"/>
        <w:left w:val="none" w:sz="0" w:space="0" w:color="auto"/>
        <w:bottom w:val="none" w:sz="0" w:space="0" w:color="auto"/>
        <w:right w:val="none" w:sz="0" w:space="0" w:color="auto"/>
      </w:divBdr>
    </w:div>
    <w:div w:id="1866364334">
      <w:bodyDiv w:val="1"/>
      <w:marLeft w:val="0"/>
      <w:marRight w:val="0"/>
      <w:marTop w:val="0"/>
      <w:marBottom w:val="0"/>
      <w:divBdr>
        <w:top w:val="none" w:sz="0" w:space="0" w:color="auto"/>
        <w:left w:val="none" w:sz="0" w:space="0" w:color="auto"/>
        <w:bottom w:val="none" w:sz="0" w:space="0" w:color="auto"/>
        <w:right w:val="none" w:sz="0" w:space="0" w:color="auto"/>
      </w:divBdr>
      <w:divsChild>
        <w:div w:id="1605380147">
          <w:marLeft w:val="0"/>
          <w:marRight w:val="0"/>
          <w:marTop w:val="90"/>
          <w:marBottom w:val="75"/>
          <w:divBdr>
            <w:top w:val="dashed" w:sz="6" w:space="5" w:color="B2B2B2"/>
            <w:left w:val="none" w:sz="0" w:space="0" w:color="auto"/>
            <w:bottom w:val="none" w:sz="0" w:space="0" w:color="auto"/>
            <w:right w:val="none" w:sz="0" w:space="0" w:color="auto"/>
          </w:divBdr>
          <w:divsChild>
            <w:div w:id="1593514665">
              <w:marLeft w:val="0"/>
              <w:marRight w:val="0"/>
              <w:marTop w:val="0"/>
              <w:marBottom w:val="75"/>
              <w:divBdr>
                <w:top w:val="none" w:sz="0" w:space="0" w:color="auto"/>
                <w:left w:val="none" w:sz="0" w:space="0" w:color="auto"/>
                <w:bottom w:val="none" w:sz="0" w:space="0" w:color="auto"/>
                <w:right w:val="none" w:sz="0" w:space="0" w:color="auto"/>
              </w:divBdr>
            </w:div>
          </w:divsChild>
        </w:div>
        <w:div w:id="1820463532">
          <w:marLeft w:val="0"/>
          <w:marRight w:val="0"/>
          <w:marTop w:val="90"/>
          <w:marBottom w:val="75"/>
          <w:divBdr>
            <w:top w:val="none" w:sz="0" w:space="0" w:color="auto"/>
            <w:left w:val="none" w:sz="0" w:space="0" w:color="auto"/>
            <w:bottom w:val="none" w:sz="0" w:space="0" w:color="auto"/>
            <w:right w:val="none" w:sz="0" w:space="0" w:color="auto"/>
          </w:divBdr>
        </w:div>
        <w:div w:id="2098403369">
          <w:marLeft w:val="0"/>
          <w:marRight w:val="0"/>
          <w:marTop w:val="0"/>
          <w:marBottom w:val="0"/>
          <w:divBdr>
            <w:top w:val="none" w:sz="0" w:space="0" w:color="auto"/>
            <w:left w:val="none" w:sz="0" w:space="0" w:color="auto"/>
            <w:bottom w:val="none" w:sz="0" w:space="0" w:color="auto"/>
            <w:right w:val="none" w:sz="0" w:space="0" w:color="auto"/>
          </w:divBdr>
        </w:div>
      </w:divsChild>
    </w:div>
    <w:div w:id="1876114055">
      <w:bodyDiv w:val="1"/>
      <w:marLeft w:val="0"/>
      <w:marRight w:val="0"/>
      <w:marTop w:val="0"/>
      <w:marBottom w:val="0"/>
      <w:divBdr>
        <w:top w:val="none" w:sz="0" w:space="0" w:color="auto"/>
        <w:left w:val="none" w:sz="0" w:space="0" w:color="auto"/>
        <w:bottom w:val="none" w:sz="0" w:space="0" w:color="auto"/>
        <w:right w:val="none" w:sz="0" w:space="0" w:color="auto"/>
      </w:divBdr>
    </w:div>
    <w:div w:id="1950971704">
      <w:bodyDiv w:val="1"/>
      <w:marLeft w:val="0"/>
      <w:marRight w:val="0"/>
      <w:marTop w:val="0"/>
      <w:marBottom w:val="0"/>
      <w:divBdr>
        <w:top w:val="none" w:sz="0" w:space="0" w:color="auto"/>
        <w:left w:val="none" w:sz="0" w:space="0" w:color="auto"/>
        <w:bottom w:val="none" w:sz="0" w:space="0" w:color="auto"/>
        <w:right w:val="none" w:sz="0" w:space="0" w:color="auto"/>
      </w:divBdr>
    </w:div>
    <w:div w:id="1960142201">
      <w:bodyDiv w:val="1"/>
      <w:marLeft w:val="0"/>
      <w:marRight w:val="0"/>
      <w:marTop w:val="0"/>
      <w:marBottom w:val="0"/>
      <w:divBdr>
        <w:top w:val="none" w:sz="0" w:space="0" w:color="auto"/>
        <w:left w:val="none" w:sz="0" w:space="0" w:color="auto"/>
        <w:bottom w:val="none" w:sz="0" w:space="0" w:color="auto"/>
        <w:right w:val="none" w:sz="0" w:space="0" w:color="auto"/>
      </w:divBdr>
    </w:div>
    <w:div w:id="2035882480">
      <w:bodyDiv w:val="1"/>
      <w:marLeft w:val="0"/>
      <w:marRight w:val="0"/>
      <w:marTop w:val="0"/>
      <w:marBottom w:val="0"/>
      <w:divBdr>
        <w:top w:val="none" w:sz="0" w:space="0" w:color="auto"/>
        <w:left w:val="none" w:sz="0" w:space="0" w:color="auto"/>
        <w:bottom w:val="none" w:sz="0" w:space="0" w:color="auto"/>
        <w:right w:val="none" w:sz="0" w:space="0" w:color="auto"/>
      </w:divBdr>
    </w:div>
    <w:div w:id="2055691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233;ta%20Cinkov&#225;\Documents\Vlastn&#237;%20&#353;ablony%20Office\sablona%20TZ%20Accenture_4_2021.dot"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C8D3A6-2019-4BCE-84AF-81A8D639A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sablona TZ Accenture_4_2021</Template>
  <TotalTime>2</TotalTime>
  <Pages>4</Pages>
  <Words>1413</Words>
  <Characters>8341</Characters>
  <Application>Microsoft Office Word</Application>
  <DocSecurity>0</DocSecurity>
  <Lines>69</Lines>
  <Paragraphs>19</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Manager/>
  <Company>Accenture</Company>
  <LinksUpToDate>false</LinksUpToDate>
  <CharactersWithSpaces>9735</CharactersWithSpaces>
  <SharedDoc>false</SharedDoc>
  <HyperlinkBase/>
  <HLinks>
    <vt:vector size="18" baseType="variant">
      <vt:variant>
        <vt:i4>7667734</vt:i4>
      </vt:variant>
      <vt:variant>
        <vt:i4>6</vt:i4>
      </vt:variant>
      <vt:variant>
        <vt:i4>0</vt:i4>
      </vt:variant>
      <vt:variant>
        <vt:i4>5</vt:i4>
      </vt:variant>
      <vt:variant>
        <vt:lpwstr>mailto:marketa.cinkova@aspen.pr</vt:lpwstr>
      </vt:variant>
      <vt:variant>
        <vt:lpwstr/>
      </vt:variant>
      <vt:variant>
        <vt:i4>5570607</vt:i4>
      </vt:variant>
      <vt:variant>
        <vt:i4>3</vt:i4>
      </vt:variant>
      <vt:variant>
        <vt:i4>0</vt:i4>
      </vt:variant>
      <vt:variant>
        <vt:i4>5</vt:i4>
      </vt:variant>
      <vt:variant>
        <vt:lpwstr>mailto:petr.jarkovsky@aspen.pr</vt:lpwstr>
      </vt:variant>
      <vt:variant>
        <vt:lpwstr/>
      </vt:variant>
      <vt:variant>
        <vt:i4>5832721</vt:i4>
      </vt:variant>
      <vt:variant>
        <vt:i4>0</vt:i4>
      </vt:variant>
      <vt:variant>
        <vt:i4>0</vt:i4>
      </vt:variant>
      <vt:variant>
        <vt:i4>5</vt:i4>
      </vt:variant>
      <vt:variant>
        <vt:lpwstr>http://www.accenture.com/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Markéta Cinková</dc:creator>
  <cp:keywords/>
  <dc:description/>
  <cp:lastModifiedBy>Šárka Lachoutová</cp:lastModifiedBy>
  <cp:revision>2</cp:revision>
  <cp:lastPrinted>2004-08-03T08:51:00Z</cp:lastPrinted>
  <dcterms:created xsi:type="dcterms:W3CDTF">2022-12-06T18:16:00Z</dcterms:created>
  <dcterms:modified xsi:type="dcterms:W3CDTF">2022-12-06T18:16:00Z</dcterms:modified>
  <cp:category/>
</cp:coreProperties>
</file>