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AEEFE" w14:textId="4EC4021D" w:rsidR="00D86AB3" w:rsidRPr="00976626" w:rsidRDefault="0038428B" w:rsidP="000877E5">
      <w:pPr>
        <w:jc w:val="center"/>
        <w:rPr>
          <w:b/>
          <w:bCs/>
          <w:sz w:val="28"/>
          <w:szCs w:val="28"/>
        </w:rPr>
      </w:pPr>
      <w:r w:rsidRPr="00976626">
        <w:rPr>
          <w:b/>
          <w:bCs/>
          <w:sz w:val="28"/>
          <w:szCs w:val="28"/>
        </w:rPr>
        <w:t xml:space="preserve">Mravenčení, křeče, </w:t>
      </w:r>
      <w:r w:rsidR="007519F6" w:rsidRPr="00976626">
        <w:rPr>
          <w:b/>
          <w:bCs/>
          <w:sz w:val="28"/>
          <w:szCs w:val="28"/>
        </w:rPr>
        <w:t xml:space="preserve">deprese, </w:t>
      </w:r>
      <w:r w:rsidRPr="00976626">
        <w:rPr>
          <w:b/>
          <w:bCs/>
          <w:sz w:val="28"/>
          <w:szCs w:val="28"/>
        </w:rPr>
        <w:t xml:space="preserve">nervozita či podrážděnost </w:t>
      </w:r>
      <w:r w:rsidR="007519F6" w:rsidRPr="00976626">
        <w:rPr>
          <w:b/>
          <w:bCs/>
          <w:sz w:val="28"/>
          <w:szCs w:val="28"/>
        </w:rPr>
        <w:br/>
      </w:r>
      <w:r w:rsidRPr="00976626">
        <w:rPr>
          <w:b/>
          <w:bCs/>
          <w:sz w:val="28"/>
          <w:szCs w:val="28"/>
        </w:rPr>
        <w:t xml:space="preserve">mohou být příčinou onemocnění zvaného </w:t>
      </w:r>
      <w:r w:rsidR="00F87675" w:rsidRPr="00976626">
        <w:rPr>
          <w:b/>
          <w:bCs/>
          <w:sz w:val="28"/>
          <w:szCs w:val="28"/>
        </w:rPr>
        <w:t>t</w:t>
      </w:r>
      <w:r w:rsidRPr="00976626">
        <w:rPr>
          <w:b/>
          <w:bCs/>
          <w:sz w:val="28"/>
          <w:szCs w:val="28"/>
        </w:rPr>
        <w:t>etanie</w:t>
      </w:r>
    </w:p>
    <w:p w14:paraId="0F808A7F" w14:textId="514DEDB9" w:rsidR="000877E5" w:rsidRPr="00976626" w:rsidRDefault="000877E5" w:rsidP="00D30D9C">
      <w:pPr>
        <w:rPr>
          <w:b/>
          <w:bCs/>
          <w:sz w:val="28"/>
          <w:szCs w:val="28"/>
        </w:rPr>
      </w:pPr>
    </w:p>
    <w:p w14:paraId="71A143EC" w14:textId="5754D46D" w:rsidR="0062612F" w:rsidRPr="00976626" w:rsidRDefault="000877E5" w:rsidP="00D30D9C">
      <w:pPr>
        <w:jc w:val="both"/>
        <w:rPr>
          <w:b/>
          <w:bCs/>
        </w:rPr>
      </w:pPr>
      <w:r w:rsidRPr="00976626">
        <w:rPr>
          <w:b/>
          <w:bCs/>
        </w:rPr>
        <w:t xml:space="preserve">Praha, </w:t>
      </w:r>
      <w:r w:rsidR="00976626">
        <w:rPr>
          <w:b/>
          <w:bCs/>
        </w:rPr>
        <w:t>16</w:t>
      </w:r>
      <w:r w:rsidRPr="00976626">
        <w:rPr>
          <w:b/>
          <w:bCs/>
        </w:rPr>
        <w:t xml:space="preserve">. </w:t>
      </w:r>
      <w:r w:rsidR="0062612F" w:rsidRPr="00976626">
        <w:rPr>
          <w:b/>
          <w:bCs/>
        </w:rPr>
        <w:t>května</w:t>
      </w:r>
      <w:r w:rsidR="00D30D9C" w:rsidRPr="00976626">
        <w:rPr>
          <w:b/>
          <w:bCs/>
        </w:rPr>
        <w:t xml:space="preserve"> </w:t>
      </w:r>
      <w:r w:rsidRPr="00976626">
        <w:rPr>
          <w:b/>
          <w:bCs/>
        </w:rPr>
        <w:t>202</w:t>
      </w:r>
      <w:r w:rsidR="00D30D9C" w:rsidRPr="00976626">
        <w:rPr>
          <w:b/>
          <w:bCs/>
        </w:rPr>
        <w:t>3</w:t>
      </w:r>
      <w:r w:rsidRPr="00976626">
        <w:rPr>
          <w:b/>
          <w:bCs/>
        </w:rPr>
        <w:t xml:space="preserve"> – </w:t>
      </w:r>
      <w:r w:rsidR="0062612F" w:rsidRPr="00976626">
        <w:rPr>
          <w:b/>
          <w:bCs/>
        </w:rPr>
        <w:t>Trápí vás mravenčení, brnění jazyka či konečků prstů, noční křeče lýtek, křečové záchvaty, neúmyslné trhavé pohyby (tiky) nebo jste podráždění? Trpíte depresemi, změnami nálad, poruchami soustředění či rozsáhlou nervozitou? Možná je příčinou tetanie, což je stav zvýšené nervosvalové dráždivosti, za jehož rozvojem většinou stojí deficit hořčíku</w:t>
      </w:r>
      <w:r w:rsidR="00FC694A" w:rsidRPr="00976626">
        <w:rPr>
          <w:b/>
          <w:bCs/>
        </w:rPr>
        <w:t xml:space="preserve"> (magn</w:t>
      </w:r>
      <w:r w:rsidR="005B29BB">
        <w:rPr>
          <w:b/>
          <w:bCs/>
        </w:rPr>
        <w:t>éz</w:t>
      </w:r>
      <w:r w:rsidR="00FC694A" w:rsidRPr="00976626">
        <w:rPr>
          <w:b/>
          <w:bCs/>
        </w:rPr>
        <w:t>ia)</w:t>
      </w:r>
      <w:r w:rsidR="0062612F" w:rsidRPr="00976626">
        <w:rPr>
          <w:b/>
          <w:bCs/>
        </w:rPr>
        <w:t xml:space="preserve"> a velká stresová zátěž.</w:t>
      </w:r>
    </w:p>
    <w:p w14:paraId="702948D5" w14:textId="77777777" w:rsidR="0062612F" w:rsidRPr="00976626" w:rsidRDefault="0062612F" w:rsidP="00D30D9C">
      <w:pPr>
        <w:jc w:val="both"/>
        <w:rPr>
          <w:b/>
          <w:bCs/>
        </w:rPr>
      </w:pPr>
    </w:p>
    <w:p w14:paraId="3A811AFE" w14:textId="35F07384" w:rsidR="00B553E5" w:rsidRPr="00976626" w:rsidRDefault="0062612F" w:rsidP="00D30D9C">
      <w:pPr>
        <w:jc w:val="both"/>
      </w:pPr>
      <w:r w:rsidRPr="00976626">
        <w:t xml:space="preserve">„Tetanie je stav zvýšené dráždivosti nervosvalového ústrojí. Je způsobena buď nedostatkem vápníku, </w:t>
      </w:r>
      <w:r w:rsidR="002135FC" w:rsidRPr="00976626">
        <w:t>výrazně</w:t>
      </w:r>
      <w:r w:rsidRPr="00976626">
        <w:t xml:space="preserve"> častěji pak nedostatkem hořčíku. Tato choroba se projevuje buď sklonem ke křečím (různými křečovými stavy, křečovými záchvaty) nebo stavy hluboké deprese, rozšířené agresivity či nervozity,</w:t>
      </w:r>
      <w:r w:rsidR="002135FC" w:rsidRPr="00976626">
        <w:t xml:space="preserve"> či různé kolapsové stavy</w:t>
      </w:r>
      <w:r w:rsidR="00DA5D35" w:rsidRPr="00976626">
        <w:t>,</w:t>
      </w:r>
      <w:r w:rsidRPr="00976626">
        <w:t xml:space="preserve">“ říká </w:t>
      </w:r>
      <w:r w:rsidR="00DA5D35" w:rsidRPr="00976626">
        <w:t xml:space="preserve">MUDr. Karol </w:t>
      </w:r>
      <w:proofErr w:type="spellStart"/>
      <w:r w:rsidR="00DA5D35" w:rsidRPr="00976626">
        <w:t>Točík</w:t>
      </w:r>
      <w:proofErr w:type="spellEnd"/>
      <w:r w:rsidR="00DA5D35" w:rsidRPr="00976626">
        <w:t xml:space="preserve">, PhD. </w:t>
      </w:r>
      <w:r w:rsidRPr="00976626">
        <w:t>a dodává</w:t>
      </w:r>
      <w:r w:rsidR="002135FC" w:rsidRPr="00976626">
        <w:t>: „Záchvat může trvat minuty, ale i hodiny, což si mohou lidé splést s epileptickým záchvatem. Rozsah křečí ovšem bývá rozmanitý</w:t>
      </w:r>
      <w:r w:rsidR="00B553E5" w:rsidRPr="00976626">
        <w:t xml:space="preserve">. </w:t>
      </w:r>
      <w:r w:rsidRPr="00976626">
        <w:t>Příznaky se mohou projevovat velmi dramaticky, sama o sobě ale tetanie není život ohrožující</w:t>
      </w:r>
      <w:r w:rsidR="00B553E5" w:rsidRPr="00976626">
        <w:t>.“</w:t>
      </w:r>
    </w:p>
    <w:p w14:paraId="323A466E" w14:textId="77777777" w:rsidR="00B553E5" w:rsidRPr="00976626" w:rsidRDefault="00B553E5" w:rsidP="00D30D9C">
      <w:pPr>
        <w:jc w:val="both"/>
      </w:pPr>
    </w:p>
    <w:p w14:paraId="7E05177B" w14:textId="24D07F8E" w:rsidR="000B54A5" w:rsidRPr="00976626" w:rsidRDefault="00B553E5" w:rsidP="00D30D9C">
      <w:pPr>
        <w:jc w:val="both"/>
      </w:pPr>
      <w:r w:rsidRPr="00976626">
        <w:t>Může však</w:t>
      </w:r>
      <w:r w:rsidR="0062612F" w:rsidRPr="00976626">
        <w:t xml:space="preserve"> dojít k případům, kdy pacient může kvůli křečím přestávat dýchat či</w:t>
      </w:r>
      <w:r w:rsidR="002135FC" w:rsidRPr="00976626">
        <w:t xml:space="preserve"> začíná</w:t>
      </w:r>
      <w:r w:rsidR="0062612F" w:rsidRPr="00976626">
        <w:t xml:space="preserve"> dýchat příliš</w:t>
      </w:r>
      <w:r w:rsidR="002135FC" w:rsidRPr="00976626">
        <w:t xml:space="preserve"> rychle</w:t>
      </w:r>
      <w:r w:rsidR="0062612F" w:rsidRPr="00976626">
        <w:t>, v důsledku čehož vznikají poruchy acidobazické rovnováhy</w:t>
      </w:r>
      <w:r w:rsidR="002135FC" w:rsidRPr="00976626">
        <w:t xml:space="preserve"> (dynamická rovnováha mezi kyselými a zásaditými látkami uvnitř organismu).</w:t>
      </w:r>
      <w:r w:rsidR="0062612F" w:rsidRPr="00976626">
        <w:t xml:space="preserve"> Silné křeče můžou způsobit natržení nebo jinou deformaci svalu, a tak pak může vést k trvalému poškození.</w:t>
      </w:r>
    </w:p>
    <w:p w14:paraId="3842F803" w14:textId="77777777" w:rsidR="002135FC" w:rsidRPr="00976626" w:rsidRDefault="002135FC" w:rsidP="00D30D9C">
      <w:pPr>
        <w:jc w:val="both"/>
      </w:pPr>
    </w:p>
    <w:p w14:paraId="0A8D1795" w14:textId="2921E8A6" w:rsidR="002135FC" w:rsidRPr="00976626" w:rsidRDefault="002135FC" w:rsidP="00D30D9C">
      <w:pPr>
        <w:jc w:val="both"/>
      </w:pPr>
      <w:r w:rsidRPr="00976626">
        <w:t>Mezi další nepříjemné komplikace při tetanii jsou poruchy spánku či stresové vypětí. Ženy zaznamenávají i různé gynekologické obtíže, jako je například premenstruační syndrom či bolestivá menstruace. Kromě toho může rozvoj tetanie souviset i se zvýšeným počtem spontánních potratů.</w:t>
      </w:r>
    </w:p>
    <w:p w14:paraId="7A2D5B07" w14:textId="77777777" w:rsidR="0062612F" w:rsidRPr="00976626" w:rsidRDefault="0062612F" w:rsidP="00D30D9C">
      <w:pPr>
        <w:jc w:val="both"/>
      </w:pPr>
    </w:p>
    <w:p w14:paraId="6FE6C135" w14:textId="0C2DA3C6" w:rsidR="002135FC" w:rsidRPr="00976626" w:rsidRDefault="002135FC" w:rsidP="002135FC">
      <w:pPr>
        <w:jc w:val="both"/>
      </w:pPr>
      <w:r w:rsidRPr="00976626">
        <w:t>„Pokud narazíte na někoho, koho trápí akutní tetanický záchvat, je důležité je především vést ho ke klidnějšímu dýchání.  Vysvětlit mu, co se s ním děje, pokusit se ho co nejvíce uklidnit a případně zajistit nitrožilní podání hořčíku či vápníku,“</w:t>
      </w:r>
      <w:r w:rsidR="00DA5D35" w:rsidRPr="00976626">
        <w:t xml:space="preserve"> říká MUDr. Karol </w:t>
      </w:r>
      <w:proofErr w:type="spellStart"/>
      <w:r w:rsidR="00DA5D35" w:rsidRPr="00976626">
        <w:t>Točík</w:t>
      </w:r>
      <w:proofErr w:type="spellEnd"/>
      <w:r w:rsidR="00DA5D35" w:rsidRPr="00976626">
        <w:t xml:space="preserve">, PhD. </w:t>
      </w:r>
      <w:r w:rsidRPr="00976626">
        <w:t>a dodává</w:t>
      </w:r>
      <w:r w:rsidR="0054280C">
        <w:t>:</w:t>
      </w:r>
      <w:r w:rsidRPr="00976626">
        <w:t xml:space="preserve"> „Ještě významnější roli však hraje dlouhodobá a preventivní pomoc, která pacientům uleví od potíží. Nejčastěji je to právě </w:t>
      </w:r>
      <w:r w:rsidR="00FC694A" w:rsidRPr="00976626">
        <w:t xml:space="preserve">dostatečný příjem </w:t>
      </w:r>
      <w:r w:rsidRPr="00976626">
        <w:t>hořčíku.</w:t>
      </w:r>
      <w:r w:rsidR="0038428B" w:rsidRPr="00976626">
        <w:t xml:space="preserve"> Řešením mohou být například tablety nebo ještě lépe magnesiové krémy</w:t>
      </w:r>
      <w:r w:rsidR="00B553E5" w:rsidRPr="00976626">
        <w:t>, například MG</w:t>
      </w:r>
      <w:r w:rsidR="00B16E34" w:rsidRPr="00976626">
        <w:t>c</w:t>
      </w:r>
      <w:r w:rsidR="00B553E5" w:rsidRPr="00976626">
        <w:t>ream</w:t>
      </w:r>
      <w:r w:rsidR="0038428B" w:rsidRPr="00976626">
        <w:t>. Hořčík ve formě krému má vyšší účinek</w:t>
      </w:r>
      <w:r w:rsidR="00FC694A" w:rsidRPr="00976626">
        <w:t>.</w:t>
      </w:r>
      <w:r w:rsidR="0038428B" w:rsidRPr="00976626">
        <w:t xml:space="preserve"> </w:t>
      </w:r>
      <w:r w:rsidR="00FC694A" w:rsidRPr="00976626">
        <w:t>O</w:t>
      </w:r>
      <w:r w:rsidR="0038428B" w:rsidRPr="00976626">
        <w:t xml:space="preserve">proti tabletám či jiným řešením, které aplikujete </w:t>
      </w:r>
      <w:r w:rsidR="00FC694A" w:rsidRPr="00976626">
        <w:t>perorálně</w:t>
      </w:r>
      <w:r w:rsidR="0038428B" w:rsidRPr="00976626">
        <w:t>, má totiž také téměř stoprocentní vstřebatelnost</w:t>
      </w:r>
      <w:r w:rsidR="00FC694A" w:rsidRPr="00976626">
        <w:t>. A navíc nezatěžuje žaludek</w:t>
      </w:r>
      <w:r w:rsidR="0038428B" w:rsidRPr="00976626">
        <w:t>.“</w:t>
      </w:r>
      <w:r w:rsidR="00B16E34" w:rsidRPr="00976626">
        <w:t xml:space="preserve"> </w:t>
      </w:r>
    </w:p>
    <w:p w14:paraId="6B6EF046" w14:textId="77777777" w:rsidR="0038428B" w:rsidRPr="00976626" w:rsidRDefault="0038428B" w:rsidP="00D30D9C"/>
    <w:p w14:paraId="6EFFEA40" w14:textId="3B8DD80E" w:rsidR="007324FC" w:rsidRPr="009C7D5B" w:rsidRDefault="00432D70" w:rsidP="00B553E5">
      <w:r w:rsidRPr="00976626">
        <w:t>MGcream je vhodný také pro sportovce, a to nejen profesionální, ale i rekreační. Ocení jej například fanoušci běhání, fitness, jízdy na kole, tenisu, fotbalu, volejbalu či dalších sportů, kde hrozí svalové zranění či namožení</w:t>
      </w:r>
      <w:r w:rsidR="0038428B" w:rsidRPr="00976626">
        <w:t>, a lze jej rychle aplikovat na místo svalového problému</w:t>
      </w:r>
      <w:r w:rsidR="00B553E5" w:rsidRPr="00976626">
        <w:t>.</w:t>
      </w:r>
    </w:p>
    <w:sectPr w:rsidR="007324FC" w:rsidRPr="009C7D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7E5"/>
    <w:rsid w:val="00035ED4"/>
    <w:rsid w:val="00084508"/>
    <w:rsid w:val="000877E5"/>
    <w:rsid w:val="000B470C"/>
    <w:rsid w:val="000B54A5"/>
    <w:rsid w:val="000B6D96"/>
    <w:rsid w:val="000D6C92"/>
    <w:rsid w:val="000F4746"/>
    <w:rsid w:val="00136F51"/>
    <w:rsid w:val="00140C2E"/>
    <w:rsid w:val="00150CE3"/>
    <w:rsid w:val="001971BF"/>
    <w:rsid w:val="002135FC"/>
    <w:rsid w:val="002401D9"/>
    <w:rsid w:val="0028496D"/>
    <w:rsid w:val="002C70E9"/>
    <w:rsid w:val="002D32D1"/>
    <w:rsid w:val="002D6A0B"/>
    <w:rsid w:val="002E4FAB"/>
    <w:rsid w:val="002E60C5"/>
    <w:rsid w:val="002E6630"/>
    <w:rsid w:val="003546E4"/>
    <w:rsid w:val="003720A3"/>
    <w:rsid w:val="00382596"/>
    <w:rsid w:val="0038428B"/>
    <w:rsid w:val="004133EF"/>
    <w:rsid w:val="00432D70"/>
    <w:rsid w:val="00462FC5"/>
    <w:rsid w:val="004A1E0E"/>
    <w:rsid w:val="004E4BBF"/>
    <w:rsid w:val="00513E53"/>
    <w:rsid w:val="0054280C"/>
    <w:rsid w:val="00550E22"/>
    <w:rsid w:val="00594291"/>
    <w:rsid w:val="005B29BB"/>
    <w:rsid w:val="005D7403"/>
    <w:rsid w:val="00604C82"/>
    <w:rsid w:val="00614451"/>
    <w:rsid w:val="0062612F"/>
    <w:rsid w:val="006C47E0"/>
    <w:rsid w:val="006C7621"/>
    <w:rsid w:val="007324FC"/>
    <w:rsid w:val="007519F6"/>
    <w:rsid w:val="00782796"/>
    <w:rsid w:val="007A3493"/>
    <w:rsid w:val="007F0C9A"/>
    <w:rsid w:val="00833E98"/>
    <w:rsid w:val="00881F2B"/>
    <w:rsid w:val="00884A5A"/>
    <w:rsid w:val="008A2A33"/>
    <w:rsid w:val="008F1986"/>
    <w:rsid w:val="009007DB"/>
    <w:rsid w:val="00915998"/>
    <w:rsid w:val="00931935"/>
    <w:rsid w:val="00936F58"/>
    <w:rsid w:val="0096553F"/>
    <w:rsid w:val="00976626"/>
    <w:rsid w:val="009A0882"/>
    <w:rsid w:val="009C7D5B"/>
    <w:rsid w:val="00A30EF2"/>
    <w:rsid w:val="00A953D7"/>
    <w:rsid w:val="00AE6AB2"/>
    <w:rsid w:val="00AF0E74"/>
    <w:rsid w:val="00AF39BF"/>
    <w:rsid w:val="00B16E34"/>
    <w:rsid w:val="00B553E5"/>
    <w:rsid w:val="00B66432"/>
    <w:rsid w:val="00B957CE"/>
    <w:rsid w:val="00BB45CB"/>
    <w:rsid w:val="00BC4CF2"/>
    <w:rsid w:val="00BD3B66"/>
    <w:rsid w:val="00C01FCD"/>
    <w:rsid w:val="00C171C7"/>
    <w:rsid w:val="00C178CE"/>
    <w:rsid w:val="00C20387"/>
    <w:rsid w:val="00C335FD"/>
    <w:rsid w:val="00C3574C"/>
    <w:rsid w:val="00C850DD"/>
    <w:rsid w:val="00CB2BB9"/>
    <w:rsid w:val="00CE3D11"/>
    <w:rsid w:val="00D201D7"/>
    <w:rsid w:val="00D30D9C"/>
    <w:rsid w:val="00D7523E"/>
    <w:rsid w:val="00D86AB3"/>
    <w:rsid w:val="00DA5D35"/>
    <w:rsid w:val="00DA7F8E"/>
    <w:rsid w:val="00E1388B"/>
    <w:rsid w:val="00E73C9F"/>
    <w:rsid w:val="00E92430"/>
    <w:rsid w:val="00F11F58"/>
    <w:rsid w:val="00F42CC1"/>
    <w:rsid w:val="00F75D59"/>
    <w:rsid w:val="00F87675"/>
    <w:rsid w:val="00FC694A"/>
    <w:rsid w:val="00FD0AA4"/>
    <w:rsid w:val="00FD54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9F5D0"/>
  <w15:chartTrackingRefBased/>
  <w15:docId w15:val="{1CF6B423-6683-D443-8843-3A84B8115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7324FC"/>
    <w:rPr>
      <w:color w:val="0563C1" w:themeColor="hyperlink"/>
      <w:u w:val="single"/>
    </w:rPr>
  </w:style>
  <w:style w:type="character" w:styleId="Nevyeenzmnka">
    <w:name w:val="Unresolved Mention"/>
    <w:basedOn w:val="Standardnpsmoodstavce"/>
    <w:uiPriority w:val="99"/>
    <w:semiHidden/>
    <w:unhideWhenUsed/>
    <w:rsid w:val="007324FC"/>
    <w:rPr>
      <w:color w:val="605E5C"/>
      <w:shd w:val="clear" w:color="auto" w:fill="E1DFDD"/>
    </w:rPr>
  </w:style>
  <w:style w:type="paragraph" w:styleId="Revize">
    <w:name w:val="Revision"/>
    <w:hidden/>
    <w:uiPriority w:val="99"/>
    <w:semiHidden/>
    <w:rsid w:val="00900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451685">
      <w:bodyDiv w:val="1"/>
      <w:marLeft w:val="0"/>
      <w:marRight w:val="0"/>
      <w:marTop w:val="0"/>
      <w:marBottom w:val="0"/>
      <w:divBdr>
        <w:top w:val="none" w:sz="0" w:space="0" w:color="auto"/>
        <w:left w:val="none" w:sz="0" w:space="0" w:color="auto"/>
        <w:bottom w:val="none" w:sz="0" w:space="0" w:color="auto"/>
        <w:right w:val="none" w:sz="0" w:space="0" w:color="auto"/>
      </w:divBdr>
      <w:divsChild>
        <w:div w:id="1595623413">
          <w:marLeft w:val="0"/>
          <w:marRight w:val="0"/>
          <w:marTop w:val="0"/>
          <w:marBottom w:val="0"/>
          <w:divBdr>
            <w:top w:val="none" w:sz="0" w:space="0" w:color="auto"/>
            <w:left w:val="none" w:sz="0" w:space="0" w:color="auto"/>
            <w:bottom w:val="none" w:sz="0" w:space="0" w:color="auto"/>
            <w:right w:val="none" w:sz="0" w:space="0" w:color="auto"/>
          </w:divBdr>
          <w:divsChild>
            <w:div w:id="404187359">
              <w:marLeft w:val="0"/>
              <w:marRight w:val="0"/>
              <w:marTop w:val="0"/>
              <w:marBottom w:val="0"/>
              <w:divBdr>
                <w:top w:val="none" w:sz="0" w:space="0" w:color="auto"/>
                <w:left w:val="none" w:sz="0" w:space="0" w:color="auto"/>
                <w:bottom w:val="none" w:sz="0" w:space="0" w:color="auto"/>
                <w:right w:val="none" w:sz="0" w:space="0" w:color="auto"/>
              </w:divBdr>
              <w:divsChild>
                <w:div w:id="107990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930180">
      <w:bodyDiv w:val="1"/>
      <w:marLeft w:val="0"/>
      <w:marRight w:val="0"/>
      <w:marTop w:val="0"/>
      <w:marBottom w:val="0"/>
      <w:divBdr>
        <w:top w:val="none" w:sz="0" w:space="0" w:color="auto"/>
        <w:left w:val="none" w:sz="0" w:space="0" w:color="auto"/>
        <w:bottom w:val="none" w:sz="0" w:space="0" w:color="auto"/>
        <w:right w:val="none" w:sz="0" w:space="0" w:color="auto"/>
      </w:divBdr>
    </w:div>
    <w:div w:id="1330520763">
      <w:bodyDiv w:val="1"/>
      <w:marLeft w:val="0"/>
      <w:marRight w:val="0"/>
      <w:marTop w:val="0"/>
      <w:marBottom w:val="0"/>
      <w:divBdr>
        <w:top w:val="none" w:sz="0" w:space="0" w:color="auto"/>
        <w:left w:val="none" w:sz="0" w:space="0" w:color="auto"/>
        <w:bottom w:val="none" w:sz="0" w:space="0" w:color="auto"/>
        <w:right w:val="none" w:sz="0" w:space="0" w:color="auto"/>
      </w:divBdr>
      <w:divsChild>
        <w:div w:id="1155493247">
          <w:blockQuote w:val="1"/>
          <w:marLeft w:val="0"/>
          <w:marRight w:val="0"/>
          <w:marTop w:val="0"/>
          <w:marBottom w:val="0"/>
          <w:divBdr>
            <w:top w:val="none" w:sz="0" w:space="0" w:color="auto"/>
            <w:left w:val="single" w:sz="12" w:space="5" w:color="1010FF"/>
            <w:bottom w:val="none" w:sz="0" w:space="0" w:color="auto"/>
            <w:right w:val="none" w:sz="0" w:space="0" w:color="auto"/>
          </w:divBdr>
          <w:divsChild>
            <w:div w:id="738479008">
              <w:marLeft w:val="0"/>
              <w:marRight w:val="0"/>
              <w:marTop w:val="0"/>
              <w:marBottom w:val="0"/>
              <w:divBdr>
                <w:top w:val="none" w:sz="0" w:space="0" w:color="auto"/>
                <w:left w:val="none" w:sz="0" w:space="0" w:color="auto"/>
                <w:bottom w:val="none" w:sz="0" w:space="0" w:color="auto"/>
                <w:right w:val="none" w:sz="0" w:space="0" w:color="auto"/>
              </w:divBdr>
              <w:divsChild>
                <w:div w:id="73505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694730">
      <w:bodyDiv w:val="1"/>
      <w:marLeft w:val="0"/>
      <w:marRight w:val="0"/>
      <w:marTop w:val="0"/>
      <w:marBottom w:val="0"/>
      <w:divBdr>
        <w:top w:val="none" w:sz="0" w:space="0" w:color="auto"/>
        <w:left w:val="none" w:sz="0" w:space="0" w:color="auto"/>
        <w:bottom w:val="none" w:sz="0" w:space="0" w:color="auto"/>
        <w:right w:val="none" w:sz="0" w:space="0" w:color="auto"/>
      </w:divBdr>
      <w:divsChild>
        <w:div w:id="13005283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771032">
              <w:marLeft w:val="0"/>
              <w:marRight w:val="0"/>
              <w:marTop w:val="0"/>
              <w:marBottom w:val="0"/>
              <w:divBdr>
                <w:top w:val="none" w:sz="0" w:space="0" w:color="auto"/>
                <w:left w:val="none" w:sz="0" w:space="0" w:color="auto"/>
                <w:bottom w:val="none" w:sz="0" w:space="0" w:color="auto"/>
                <w:right w:val="none" w:sz="0" w:space="0" w:color="auto"/>
              </w:divBdr>
              <w:divsChild>
                <w:div w:id="1436948766">
                  <w:marLeft w:val="0"/>
                  <w:marRight w:val="0"/>
                  <w:marTop w:val="0"/>
                  <w:marBottom w:val="0"/>
                  <w:divBdr>
                    <w:top w:val="none" w:sz="0" w:space="0" w:color="auto"/>
                    <w:left w:val="none" w:sz="0" w:space="0" w:color="auto"/>
                    <w:bottom w:val="none" w:sz="0" w:space="0" w:color="auto"/>
                    <w:right w:val="none" w:sz="0" w:space="0" w:color="auto"/>
                  </w:divBdr>
                  <w:divsChild>
                    <w:div w:id="19759172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847989625">
                          <w:marLeft w:val="0"/>
                          <w:marRight w:val="0"/>
                          <w:marTop w:val="0"/>
                          <w:marBottom w:val="0"/>
                          <w:divBdr>
                            <w:top w:val="none" w:sz="0" w:space="0" w:color="auto"/>
                            <w:left w:val="none" w:sz="0" w:space="0" w:color="auto"/>
                            <w:bottom w:val="none" w:sz="0" w:space="0" w:color="auto"/>
                            <w:right w:val="none" w:sz="0" w:space="0" w:color="auto"/>
                          </w:divBdr>
                          <w:divsChild>
                            <w:div w:id="401802922">
                              <w:marLeft w:val="0"/>
                              <w:marRight w:val="0"/>
                              <w:marTop w:val="0"/>
                              <w:marBottom w:val="0"/>
                              <w:divBdr>
                                <w:top w:val="none" w:sz="0" w:space="0" w:color="auto"/>
                                <w:left w:val="none" w:sz="0" w:space="0" w:color="auto"/>
                                <w:bottom w:val="none" w:sz="0" w:space="0" w:color="auto"/>
                                <w:right w:val="none" w:sz="0" w:space="0" w:color="auto"/>
                              </w:divBdr>
                              <w:divsChild>
                                <w:div w:id="720983550">
                                  <w:marLeft w:val="0"/>
                                  <w:marRight w:val="0"/>
                                  <w:marTop w:val="0"/>
                                  <w:marBottom w:val="0"/>
                                  <w:divBdr>
                                    <w:top w:val="none" w:sz="0" w:space="0" w:color="auto"/>
                                    <w:left w:val="none" w:sz="0" w:space="0" w:color="auto"/>
                                    <w:bottom w:val="none" w:sz="0" w:space="0" w:color="auto"/>
                                    <w:right w:val="none" w:sz="0" w:space="0" w:color="auto"/>
                                  </w:divBdr>
                                  <w:divsChild>
                                    <w:div w:id="2137870453">
                                      <w:marLeft w:val="0"/>
                                      <w:marRight w:val="0"/>
                                      <w:marTop w:val="0"/>
                                      <w:marBottom w:val="0"/>
                                      <w:divBdr>
                                        <w:top w:val="none" w:sz="0" w:space="0" w:color="auto"/>
                                        <w:left w:val="none" w:sz="0" w:space="0" w:color="auto"/>
                                        <w:bottom w:val="none" w:sz="0" w:space="0" w:color="auto"/>
                                        <w:right w:val="none" w:sz="0" w:space="0" w:color="auto"/>
                                      </w:divBdr>
                                      <w:divsChild>
                                        <w:div w:id="13034605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1279900">
                                              <w:marLeft w:val="0"/>
                                              <w:marRight w:val="0"/>
                                              <w:marTop w:val="0"/>
                                              <w:marBottom w:val="0"/>
                                              <w:divBdr>
                                                <w:top w:val="none" w:sz="0" w:space="0" w:color="auto"/>
                                                <w:left w:val="none" w:sz="0" w:space="0" w:color="auto"/>
                                                <w:bottom w:val="none" w:sz="0" w:space="0" w:color="auto"/>
                                                <w:right w:val="none" w:sz="0" w:space="0" w:color="auto"/>
                                              </w:divBdr>
                                              <w:divsChild>
                                                <w:div w:id="1962879948">
                                                  <w:marLeft w:val="0"/>
                                                  <w:marRight w:val="0"/>
                                                  <w:marTop w:val="0"/>
                                                  <w:marBottom w:val="0"/>
                                                  <w:divBdr>
                                                    <w:top w:val="none" w:sz="0" w:space="0" w:color="auto"/>
                                                    <w:left w:val="none" w:sz="0" w:space="0" w:color="auto"/>
                                                    <w:bottom w:val="none" w:sz="0" w:space="0" w:color="auto"/>
                                                    <w:right w:val="none" w:sz="0" w:space="0" w:color="auto"/>
                                                  </w:divBdr>
                                                  <w:divsChild>
                                                    <w:div w:id="12993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7605109">
      <w:bodyDiv w:val="1"/>
      <w:marLeft w:val="0"/>
      <w:marRight w:val="0"/>
      <w:marTop w:val="0"/>
      <w:marBottom w:val="0"/>
      <w:divBdr>
        <w:top w:val="none" w:sz="0" w:space="0" w:color="auto"/>
        <w:left w:val="none" w:sz="0" w:space="0" w:color="auto"/>
        <w:bottom w:val="none" w:sz="0" w:space="0" w:color="auto"/>
        <w:right w:val="none" w:sz="0" w:space="0" w:color="auto"/>
      </w:divBdr>
      <w:divsChild>
        <w:div w:id="1181237896">
          <w:marLeft w:val="0"/>
          <w:marRight w:val="0"/>
          <w:marTop w:val="0"/>
          <w:marBottom w:val="0"/>
          <w:divBdr>
            <w:top w:val="none" w:sz="0" w:space="0" w:color="auto"/>
            <w:left w:val="none" w:sz="0" w:space="0" w:color="auto"/>
            <w:bottom w:val="none" w:sz="0" w:space="0" w:color="auto"/>
            <w:right w:val="none" w:sz="0" w:space="0" w:color="auto"/>
          </w:divBdr>
        </w:div>
        <w:div w:id="1723211060">
          <w:marLeft w:val="0"/>
          <w:marRight w:val="0"/>
          <w:marTop w:val="0"/>
          <w:marBottom w:val="0"/>
          <w:divBdr>
            <w:top w:val="none" w:sz="0" w:space="0" w:color="auto"/>
            <w:left w:val="none" w:sz="0" w:space="0" w:color="auto"/>
            <w:bottom w:val="none" w:sz="0" w:space="0" w:color="auto"/>
            <w:right w:val="none" w:sz="0" w:space="0" w:color="auto"/>
          </w:divBdr>
        </w:div>
      </w:divsChild>
    </w:div>
    <w:div w:id="1653755717">
      <w:bodyDiv w:val="1"/>
      <w:marLeft w:val="0"/>
      <w:marRight w:val="0"/>
      <w:marTop w:val="0"/>
      <w:marBottom w:val="0"/>
      <w:divBdr>
        <w:top w:val="none" w:sz="0" w:space="0" w:color="auto"/>
        <w:left w:val="none" w:sz="0" w:space="0" w:color="auto"/>
        <w:bottom w:val="none" w:sz="0" w:space="0" w:color="auto"/>
        <w:right w:val="none" w:sz="0" w:space="0" w:color="auto"/>
      </w:divBdr>
      <w:divsChild>
        <w:div w:id="2067995342">
          <w:blockQuote w:val="1"/>
          <w:marLeft w:val="0"/>
          <w:marRight w:val="0"/>
          <w:marTop w:val="0"/>
          <w:marBottom w:val="0"/>
          <w:divBdr>
            <w:top w:val="none" w:sz="0" w:space="0" w:color="auto"/>
            <w:left w:val="single" w:sz="12" w:space="5" w:color="1010FF"/>
            <w:bottom w:val="none" w:sz="0" w:space="0" w:color="auto"/>
            <w:right w:val="none" w:sz="0" w:space="0" w:color="auto"/>
          </w:divBdr>
          <w:divsChild>
            <w:div w:id="1039818064">
              <w:marLeft w:val="0"/>
              <w:marRight w:val="0"/>
              <w:marTop w:val="0"/>
              <w:marBottom w:val="0"/>
              <w:divBdr>
                <w:top w:val="none" w:sz="0" w:space="0" w:color="auto"/>
                <w:left w:val="none" w:sz="0" w:space="0" w:color="auto"/>
                <w:bottom w:val="none" w:sz="0" w:space="0" w:color="auto"/>
                <w:right w:val="none" w:sz="0" w:space="0" w:color="auto"/>
              </w:divBdr>
              <w:divsChild>
                <w:div w:id="82085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703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B3E77-EF69-E94E-B643-91D919B2C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393</Words>
  <Characters>2321</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2709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Šárka Lachoutová</cp:lastModifiedBy>
  <cp:revision>2</cp:revision>
  <dcterms:created xsi:type="dcterms:W3CDTF">2023-05-16T16:19:00Z</dcterms:created>
  <dcterms:modified xsi:type="dcterms:W3CDTF">2023-05-16T16:19:00Z</dcterms:modified>
  <cp:category/>
</cp:coreProperties>
</file>