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BF8C" w14:textId="55202DF7" w:rsidR="00AF3ADB" w:rsidRDefault="00BB7A84" w:rsidP="005E535F">
      <w:pPr>
        <w:pStyle w:val="Nadpis1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V</w:t>
      </w:r>
      <w:r w:rsidR="00C45B6D">
        <w:rPr>
          <w:rFonts w:ascii="Calibri" w:hAnsi="Calibri" w:cs="Calibri"/>
          <w:b/>
          <w:bCs/>
          <w:color w:val="auto"/>
        </w:rPr>
        <w:t>e</w:t>
      </w:r>
      <w:r w:rsidR="00735C00">
        <w:rPr>
          <w:rFonts w:ascii="Calibri" w:hAnsi="Calibri" w:cs="Calibri"/>
          <w:b/>
          <w:bCs/>
          <w:color w:val="auto"/>
        </w:rPr>
        <w:t xml:space="preserve"> správě nemovitostí a</w:t>
      </w:r>
      <w:r w:rsidR="00C45B6D">
        <w:rPr>
          <w:rFonts w:ascii="Calibri" w:hAnsi="Calibri" w:cs="Calibri"/>
          <w:b/>
          <w:bCs/>
          <w:color w:val="auto"/>
        </w:rPr>
        <w:t xml:space="preserve"> facility managementu</w:t>
      </w:r>
      <w:r>
        <w:rPr>
          <w:rFonts w:ascii="Calibri" w:hAnsi="Calibri" w:cs="Calibri"/>
          <w:b/>
          <w:bCs/>
          <w:color w:val="auto"/>
        </w:rPr>
        <w:t xml:space="preserve"> hraje ESG stále důležitější roli</w:t>
      </w:r>
      <w:r w:rsidR="005E535F">
        <w:rPr>
          <w:rFonts w:ascii="Calibri" w:hAnsi="Calibri" w:cs="Calibri"/>
          <w:b/>
          <w:bCs/>
          <w:color w:val="auto"/>
        </w:rPr>
        <w:t>. Přichází ekologické účetnictví a nové směrnice</w:t>
      </w:r>
    </w:p>
    <w:p w14:paraId="611CB989" w14:textId="77777777" w:rsidR="00C45B6D" w:rsidRDefault="00C45B6D" w:rsidP="00C45B6D"/>
    <w:p w14:paraId="675E2F52" w14:textId="77777777" w:rsidR="00670420" w:rsidRDefault="009E15E0" w:rsidP="00670420">
      <w:pPr>
        <w:rPr>
          <w:b/>
          <w:bCs/>
        </w:rPr>
      </w:pPr>
      <w:r w:rsidRPr="009E15E0">
        <w:rPr>
          <w:b/>
          <w:bCs/>
        </w:rPr>
        <w:t xml:space="preserve">Praha, </w:t>
      </w:r>
      <w:r w:rsidR="00670420">
        <w:rPr>
          <w:b/>
          <w:bCs/>
        </w:rPr>
        <w:t>24</w:t>
      </w:r>
      <w:r w:rsidRPr="009E15E0">
        <w:rPr>
          <w:b/>
          <w:bCs/>
        </w:rPr>
        <w:t>. května 2023</w:t>
      </w:r>
      <w:r>
        <w:t xml:space="preserve"> - </w:t>
      </w:r>
      <w:r w:rsidRPr="009E15E0">
        <w:rPr>
          <w:b/>
          <w:bCs/>
        </w:rPr>
        <w:t>Udržitelnost podle kritérií ukrytých pod zkratkou ESG (</w:t>
      </w:r>
      <w:r w:rsidRPr="008C642A">
        <w:rPr>
          <w:b/>
          <w:bCs/>
          <w:lang w:val="en-US"/>
        </w:rPr>
        <w:t>environmental, social and corporate governance)</w:t>
      </w:r>
      <w:r w:rsidRPr="009E15E0">
        <w:rPr>
          <w:b/>
          <w:bCs/>
        </w:rPr>
        <w:t xml:space="preserve"> již není otázkou jenom vybraných, nejčastěji velkých korporací</w:t>
      </w:r>
      <w:r w:rsidR="006F38D4">
        <w:rPr>
          <w:b/>
          <w:bCs/>
        </w:rPr>
        <w:t>. B</w:t>
      </w:r>
      <w:r w:rsidRPr="009E15E0">
        <w:rPr>
          <w:b/>
          <w:bCs/>
        </w:rPr>
        <w:t>rzy se bude</w:t>
      </w:r>
      <w:r w:rsidR="00670420">
        <w:rPr>
          <w:b/>
          <w:bCs/>
        </w:rPr>
        <w:t xml:space="preserve"> totiž</w:t>
      </w:r>
      <w:r w:rsidRPr="009E15E0">
        <w:rPr>
          <w:b/>
          <w:bCs/>
        </w:rPr>
        <w:t xml:space="preserve"> týkat </w:t>
      </w:r>
      <w:r w:rsidR="00670420">
        <w:rPr>
          <w:b/>
          <w:bCs/>
        </w:rPr>
        <w:t>většiny</w:t>
      </w:r>
      <w:r w:rsidR="00E16DB0">
        <w:rPr>
          <w:b/>
          <w:bCs/>
        </w:rPr>
        <w:t xml:space="preserve"> firem</w:t>
      </w:r>
      <w:r w:rsidR="00670420">
        <w:rPr>
          <w:b/>
          <w:bCs/>
        </w:rPr>
        <w:t>.</w:t>
      </w:r>
    </w:p>
    <w:p w14:paraId="3A79C810" w14:textId="234A4CE2" w:rsidR="00790813" w:rsidRPr="00670420" w:rsidRDefault="009E15E0" w:rsidP="00670420">
      <w:pPr>
        <w:rPr>
          <w:b/>
          <w:bCs/>
        </w:rPr>
      </w:pPr>
      <w:r>
        <w:rPr>
          <w:rFonts w:cstheme="minorHAnsi"/>
          <w:color w:val="000000"/>
          <w:shd w:val="clear" w:color="auto" w:fill="FFFFFF"/>
        </w:rPr>
        <w:t>„</w:t>
      </w:r>
      <w:r w:rsidRPr="002D4A9C">
        <w:rPr>
          <w:rFonts w:cstheme="minorHAnsi"/>
          <w:color w:val="000000"/>
          <w:shd w:val="clear" w:color="auto" w:fill="FFFFFF"/>
        </w:rPr>
        <w:t>Od roku 2024 má vstoupit v platnost směrnice CSRD (</w:t>
      </w:r>
      <w:proofErr w:type="spellStart"/>
      <w:r w:rsidRPr="002D4A9C">
        <w:rPr>
          <w:rFonts w:cstheme="minorHAnsi"/>
          <w:color w:val="000000"/>
          <w:shd w:val="clear" w:color="auto" w:fill="FFFFFF"/>
        </w:rPr>
        <w:t>Corporate</w:t>
      </w:r>
      <w:proofErr w:type="spellEnd"/>
      <w:r w:rsidRPr="002D4A9C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2D4A9C">
        <w:rPr>
          <w:rFonts w:cstheme="minorHAnsi"/>
          <w:color w:val="000000"/>
          <w:shd w:val="clear" w:color="auto" w:fill="FFFFFF"/>
        </w:rPr>
        <w:t>Sustainability</w:t>
      </w:r>
      <w:proofErr w:type="spellEnd"/>
      <w:r w:rsidRPr="002D4A9C">
        <w:rPr>
          <w:rFonts w:cstheme="minorHAnsi"/>
          <w:color w:val="000000"/>
          <w:shd w:val="clear" w:color="auto" w:fill="FFFFFF"/>
        </w:rPr>
        <w:t xml:space="preserve"> Reporting </w:t>
      </w:r>
      <w:proofErr w:type="spellStart"/>
      <w:r w:rsidRPr="002D4A9C">
        <w:rPr>
          <w:rFonts w:cstheme="minorHAnsi"/>
          <w:color w:val="000000"/>
          <w:shd w:val="clear" w:color="auto" w:fill="FFFFFF"/>
        </w:rPr>
        <w:t>Directive</w:t>
      </w:r>
      <w:proofErr w:type="spellEnd"/>
      <w:r w:rsidRPr="002D4A9C">
        <w:rPr>
          <w:rFonts w:cstheme="minorHAnsi"/>
          <w:color w:val="000000"/>
          <w:shd w:val="clear" w:color="auto" w:fill="FFFFFF"/>
        </w:rPr>
        <w:t xml:space="preserve">), která bude standardizovat reporting udržitelnosti u větších firem v EU. Ta se postupně bude aplikovat i na malé a střední podniky,“ říká odborník na udržitelnost poradenské společnosti </w:t>
      </w:r>
      <w:proofErr w:type="spellStart"/>
      <w:r w:rsidRPr="002D4A9C">
        <w:rPr>
          <w:rFonts w:cstheme="minorHAnsi"/>
          <w:color w:val="000000"/>
          <w:shd w:val="clear" w:color="auto" w:fill="FFFFFF"/>
        </w:rPr>
        <w:t>Accenture</w:t>
      </w:r>
      <w:proofErr w:type="spellEnd"/>
      <w:r w:rsidRPr="002D4A9C">
        <w:rPr>
          <w:rFonts w:cstheme="minorHAnsi"/>
          <w:color w:val="000000"/>
          <w:shd w:val="clear" w:color="auto" w:fill="FFFFFF"/>
        </w:rPr>
        <w:t xml:space="preserve"> Karel </w:t>
      </w:r>
      <w:proofErr w:type="spellStart"/>
      <w:r w:rsidRPr="002D4A9C">
        <w:rPr>
          <w:rFonts w:cstheme="minorHAnsi"/>
          <w:color w:val="000000"/>
          <w:shd w:val="clear" w:color="auto" w:fill="FFFFFF"/>
        </w:rPr>
        <w:t>Kotoun</w:t>
      </w:r>
      <w:proofErr w:type="spellEnd"/>
      <w:r w:rsidRPr="002D4A9C">
        <w:rPr>
          <w:rFonts w:cstheme="minorHAnsi"/>
          <w:color w:val="000000"/>
          <w:shd w:val="clear" w:color="auto" w:fill="FFFFFF"/>
        </w:rPr>
        <w:t xml:space="preserve">. </w:t>
      </w:r>
    </w:p>
    <w:p w14:paraId="12EADA39" w14:textId="77777777" w:rsidR="00522408" w:rsidRDefault="00522408" w:rsidP="009E15E0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hd w:val="clear" w:color="auto" w:fill="FFFFFF"/>
        </w:rPr>
      </w:pPr>
    </w:p>
    <w:p w14:paraId="67EF21B5" w14:textId="2DE19D68" w:rsidR="009E15E0" w:rsidRPr="009E15E0" w:rsidRDefault="009E15E0" w:rsidP="009E15E0">
      <w:r w:rsidRPr="002D4A9C">
        <w:rPr>
          <w:rFonts w:cstheme="minorHAnsi"/>
          <w:color w:val="000000"/>
          <w:shd w:val="clear" w:color="auto" w:fill="FFFFFF"/>
        </w:rPr>
        <w:t xml:space="preserve">„Tato směrnice </w:t>
      </w:r>
      <w:r w:rsidR="00E16DB0">
        <w:rPr>
          <w:rFonts w:cstheme="minorHAnsi"/>
          <w:color w:val="000000"/>
          <w:shd w:val="clear" w:color="auto" w:fill="FFFFFF"/>
        </w:rPr>
        <w:t xml:space="preserve">bude mít </w:t>
      </w:r>
      <w:r>
        <w:rPr>
          <w:rFonts w:cstheme="minorHAnsi"/>
          <w:color w:val="000000"/>
          <w:shd w:val="clear" w:color="auto" w:fill="FFFFFF"/>
        </w:rPr>
        <w:t>již</w:t>
      </w:r>
      <w:r w:rsidRPr="002D4A9C">
        <w:rPr>
          <w:rFonts w:cstheme="minorHAnsi"/>
          <w:color w:val="000000"/>
          <w:shd w:val="clear" w:color="auto" w:fill="FFFFFF"/>
        </w:rPr>
        <w:t xml:space="preserve"> </w:t>
      </w:r>
      <w:r w:rsidR="00E16DB0">
        <w:rPr>
          <w:rFonts w:cstheme="minorHAnsi"/>
          <w:color w:val="000000"/>
          <w:shd w:val="clear" w:color="auto" w:fill="FFFFFF"/>
        </w:rPr>
        <w:t>brzy</w:t>
      </w:r>
      <w:r w:rsidR="00E16DB0" w:rsidRPr="002D4A9C">
        <w:rPr>
          <w:rFonts w:cstheme="minorHAnsi"/>
          <w:color w:val="000000"/>
          <w:shd w:val="clear" w:color="auto" w:fill="FFFFFF"/>
        </w:rPr>
        <w:t xml:space="preserve"> </w:t>
      </w:r>
      <w:r w:rsidRPr="002D4A9C">
        <w:rPr>
          <w:rFonts w:cstheme="minorHAnsi"/>
          <w:color w:val="000000"/>
          <w:shd w:val="clear" w:color="auto" w:fill="FFFFFF"/>
        </w:rPr>
        <w:t>přímý vliv na většinu firem. Aby ji dokázaly splnit, budou muset dodržovat a reportovat svoji uhlíkovou stopu také v oblasti provozu firemních prostor</w:t>
      </w:r>
      <w:r w:rsidR="00E16DB0">
        <w:rPr>
          <w:rFonts w:cstheme="minorHAnsi"/>
          <w:color w:val="000000"/>
          <w:shd w:val="clear" w:color="auto" w:fill="FFFFFF"/>
        </w:rPr>
        <w:t>,</w:t>
      </w:r>
      <w:r w:rsidRPr="002D4A9C">
        <w:rPr>
          <w:rFonts w:cstheme="minorHAnsi"/>
          <w:color w:val="000000"/>
          <w:shd w:val="clear" w:color="auto" w:fill="FFFFFF"/>
        </w:rPr>
        <w:t xml:space="preserve"> včetně kancelářských</w:t>
      </w:r>
      <w:r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>
        <w:t>Manaže</w:t>
      </w:r>
      <w:r w:rsidR="005E535F">
        <w:t>ři</w:t>
      </w:r>
      <w:proofErr w:type="spellEnd"/>
      <w:r w:rsidR="005E535F">
        <w:t xml:space="preserve"> </w:t>
      </w:r>
      <w:r>
        <w:t xml:space="preserve">v sektoru nemovitostí a facility managementu by tedy měli být nyní co </w:t>
      </w:r>
      <w:r w:rsidR="00CA1DC5">
        <w:t>nejaktivnější</w:t>
      </w:r>
      <w:r>
        <w:t>. Kdo rychle a správně implementuje principy ESG</w:t>
      </w:r>
      <w:r w:rsidR="00E16DB0">
        <w:t>,</w:t>
      </w:r>
      <w:r>
        <w:t xml:space="preserve"> zvládne legislativní podmínky včas a s menšími náklady. Bude také více konkurenceschopný a atraktivnější pro zaměstnance,</w:t>
      </w:r>
      <w:r w:rsidRPr="002D4A9C">
        <w:rPr>
          <w:rFonts w:cstheme="minorHAnsi"/>
          <w:color w:val="000000"/>
          <w:shd w:val="clear" w:color="auto" w:fill="FFFFFF"/>
        </w:rPr>
        <w:t>“ říká Ondřej Mareček z SSI Group.</w:t>
      </w:r>
    </w:p>
    <w:p w14:paraId="104BCA4A" w14:textId="6EC320B5" w:rsidR="00514BEB" w:rsidRPr="008C642A" w:rsidRDefault="008C642A" w:rsidP="00514BEB">
      <w:pPr>
        <w:rPr>
          <w:b/>
          <w:bCs/>
        </w:rPr>
      </w:pPr>
      <w:r w:rsidRPr="008C642A">
        <w:rPr>
          <w:b/>
          <w:bCs/>
        </w:rPr>
        <w:t>Ekologické účetnictví</w:t>
      </w:r>
    </w:p>
    <w:p w14:paraId="0B82A6F9" w14:textId="77777777" w:rsidR="00BB7A84" w:rsidRDefault="00514BEB" w:rsidP="00514BEB">
      <w:r>
        <w:t xml:space="preserve">S tím, jak se nemovitosti pronajímají, </w:t>
      </w:r>
      <w:r w:rsidR="008C642A">
        <w:t>byly nedávno podrobeny</w:t>
      </w:r>
      <w:r>
        <w:t xml:space="preserve"> novým účetním standardům</w:t>
      </w:r>
      <w:r w:rsidR="008C642A">
        <w:t xml:space="preserve">. </w:t>
      </w:r>
      <w:r>
        <w:t xml:space="preserve"> </w:t>
      </w:r>
      <w:r w:rsidR="008C642A">
        <w:t xml:space="preserve">Ty </w:t>
      </w:r>
      <w:r>
        <w:t xml:space="preserve">vyžadují poskytnutí dobře strukturovaných, fakticky správných a dohledatelných dat. </w:t>
      </w:r>
      <w:r w:rsidR="008C642A">
        <w:t xml:space="preserve">Podobný přístup nyní probíhá i </w:t>
      </w:r>
      <w:r w:rsidR="00BB7A84">
        <w:t xml:space="preserve">u </w:t>
      </w:r>
      <w:r w:rsidR="008C642A">
        <w:t>tzv. ekologického účetnictví, kde se místo finanční</w:t>
      </w:r>
      <w:r w:rsidR="00E16DB0">
        <w:t>ch</w:t>
      </w:r>
      <w:r w:rsidR="008C642A">
        <w:t xml:space="preserve"> toků budou sledovat toky CO2.</w:t>
      </w:r>
      <w:r>
        <w:t xml:space="preserve"> V základu je cílem formální uveřejňování ekologické stopy dané společnosti v rámci </w:t>
      </w:r>
      <w:r w:rsidR="00E16DB0">
        <w:t xml:space="preserve">aktuálních </w:t>
      </w:r>
      <w:r>
        <w:t>emisí CO2 a potenciálního CO2</w:t>
      </w:r>
      <w:r w:rsidR="008C642A">
        <w:t>, někdy nazýv</w:t>
      </w:r>
      <w:r w:rsidR="00331EEF">
        <w:t>anéh</w:t>
      </w:r>
      <w:r w:rsidR="008C642A">
        <w:t xml:space="preserve">o </w:t>
      </w:r>
      <w:r w:rsidR="00331EEF">
        <w:t xml:space="preserve">také </w:t>
      </w:r>
      <w:r w:rsidR="008C642A">
        <w:t xml:space="preserve">naskladněné CO2. </w:t>
      </w:r>
      <w:r>
        <w:t xml:space="preserve">V konečné bilanci ji stačí porovnat s kapitálovými výdaji v průběhu roku, vedle kapitálu přiřazeného k aktivům. </w:t>
      </w:r>
    </w:p>
    <w:p w14:paraId="7360F46E" w14:textId="308C2560" w:rsidR="00514BEB" w:rsidRDefault="00514BEB" w:rsidP="00514BEB">
      <w:r>
        <w:t>Podle ESG existují tři definované rozsahy emisí</w:t>
      </w:r>
      <w:r w:rsidR="008C642A">
        <w:t xml:space="preserve">. </w:t>
      </w:r>
      <w:r>
        <w:t>Přímá emise skleníkových plynů, která pochází ze zdrojů vlastněných nebo ovládaných danou organizací. Nepřímé emise skleníkových plynů, asociované s nákupem elektřiny, páry, vytápěním či chlazením.</w:t>
      </w:r>
      <w:r w:rsidR="008C642A">
        <w:t xml:space="preserve"> </w:t>
      </w:r>
      <w:r w:rsidR="00F41276">
        <w:t>A třetí rozsah, e</w:t>
      </w:r>
      <w:r>
        <w:t>mise, které jsou výsledkem činnosti majetků, které daná organizace nevlastní ani neovládá, ale nepřímo ovlivňuje hodnotu tohoto řetězce.</w:t>
      </w:r>
    </w:p>
    <w:p w14:paraId="698E27CE" w14:textId="6C47B144" w:rsidR="00514BEB" w:rsidRPr="00790813" w:rsidRDefault="00790813" w:rsidP="00514BEB">
      <w:pPr>
        <w:rPr>
          <w:b/>
          <w:bCs/>
        </w:rPr>
      </w:pPr>
      <w:r w:rsidRPr="00790813">
        <w:rPr>
          <w:b/>
          <w:bCs/>
        </w:rPr>
        <w:t>Emise ze vzduchotechniky</w:t>
      </w:r>
    </w:p>
    <w:p w14:paraId="47E8EC3F" w14:textId="77777777" w:rsidR="00BB7A84" w:rsidRDefault="00790813" w:rsidP="00514BEB">
      <w:r>
        <w:t>Jakmile si společnost pořídí</w:t>
      </w:r>
      <w:r w:rsidR="00514BEB">
        <w:t xml:space="preserve"> </w:t>
      </w:r>
      <w:r>
        <w:t xml:space="preserve">například </w:t>
      </w:r>
      <w:r w:rsidR="00514BEB">
        <w:t>novou vzduchotechniku, musí do svého účetnictví zařadit emise, které vznik</w:t>
      </w:r>
      <w:r>
        <w:t>ají</w:t>
      </w:r>
      <w:r w:rsidR="00514BEB">
        <w:t xml:space="preserve"> při výrobě tohoto zařízení. Ty budou účtovány výrobcem vzduchotechniky a budou zaznamenány jako emise obsažené v samotném zařízení. Vybavení bude muset být do budovy dovezeno, tím vznikají emise CO2 účtované přepravní společností. Instalace </w:t>
      </w:r>
      <w:r w:rsidR="00742576">
        <w:t>také vy</w:t>
      </w:r>
      <w:r w:rsidR="00514BEB">
        <w:t>produkuje emise CO2</w:t>
      </w:r>
      <w:r w:rsidR="00C235FE">
        <w:t>,</w:t>
      </w:r>
      <w:r w:rsidR="00514BEB">
        <w:t xml:space="preserve"> ty účtuje poskytovatel služby instalace. </w:t>
      </w:r>
      <w:r>
        <w:t>Emise se následně budou odepisovat v účetnictví</w:t>
      </w:r>
      <w:r w:rsidRPr="00D6242E">
        <w:t xml:space="preserve">. </w:t>
      </w:r>
    </w:p>
    <w:p w14:paraId="1F5DA85C" w14:textId="78CC0FE3" w:rsidR="00790813" w:rsidRDefault="00514BEB" w:rsidP="00514BEB">
      <w:r w:rsidRPr="00D6242E">
        <w:t xml:space="preserve">Pokud společnost odepíše zařízení dříve než objem zbývajícího CO2, pak </w:t>
      </w:r>
      <w:r w:rsidR="00790813" w:rsidRPr="00D6242E">
        <w:t>ty</w:t>
      </w:r>
      <w:r w:rsidRPr="00D6242E">
        <w:t xml:space="preserve"> emise nahl</w:t>
      </w:r>
      <w:r w:rsidR="00790813" w:rsidRPr="00D6242E">
        <w:t>ás</w:t>
      </w:r>
      <w:r w:rsidR="00742576" w:rsidRPr="00D6242E">
        <w:t>í</w:t>
      </w:r>
      <w:r w:rsidRPr="00D6242E">
        <w:t xml:space="preserve"> jako čisté emise. Pokud </w:t>
      </w:r>
      <w:r w:rsidR="00790813" w:rsidRPr="00D6242E">
        <w:t>bude</w:t>
      </w:r>
      <w:r w:rsidRPr="00D6242E">
        <w:t xml:space="preserve"> zařízení v chodu déle, </w:t>
      </w:r>
      <w:r w:rsidR="00790813" w:rsidRPr="00D6242E">
        <w:t>bude</w:t>
      </w:r>
      <w:r w:rsidRPr="00D6242E">
        <w:t xml:space="preserve"> objem CO2</w:t>
      </w:r>
      <w:r w:rsidR="00790813" w:rsidRPr="00D6242E">
        <w:t xml:space="preserve"> v účetnictví</w:t>
      </w:r>
      <w:r w:rsidRPr="00D6242E">
        <w:t xml:space="preserve"> plně odepsán.</w:t>
      </w:r>
      <w:r>
        <w:t xml:space="preserve"> Zboží a služby se tak prakticky stanou pro klienty společnosti levnější.</w:t>
      </w:r>
      <w:r w:rsidR="00790813">
        <w:t xml:space="preserve"> Správci budov budou</w:t>
      </w:r>
      <w:r>
        <w:t xml:space="preserve"> </w:t>
      </w:r>
      <w:r w:rsidR="00790813">
        <w:t>podle</w:t>
      </w:r>
      <w:r>
        <w:t xml:space="preserve"> ESG a principů ekologického účetnictví </w:t>
      </w:r>
      <w:r w:rsidR="00331EEF">
        <w:t xml:space="preserve">povinni </w:t>
      </w:r>
      <w:r>
        <w:t xml:space="preserve">zavést pevně vedenou evidenci. </w:t>
      </w:r>
    </w:p>
    <w:p w14:paraId="465D90EC" w14:textId="77777777" w:rsidR="00742576" w:rsidRDefault="00742576" w:rsidP="00790813">
      <w:pPr>
        <w:rPr>
          <w:b/>
          <w:bCs/>
        </w:rPr>
      </w:pPr>
    </w:p>
    <w:p w14:paraId="58B4C2BB" w14:textId="051C618B" w:rsidR="00C235FE" w:rsidRPr="00C235FE" w:rsidRDefault="00C235FE" w:rsidP="00790813">
      <w:pPr>
        <w:rPr>
          <w:b/>
          <w:bCs/>
        </w:rPr>
      </w:pPr>
      <w:r w:rsidRPr="00C235FE">
        <w:rPr>
          <w:b/>
          <w:bCs/>
        </w:rPr>
        <w:lastRenderedPageBreak/>
        <w:t>Další hlediska pro sledování ESG</w:t>
      </w:r>
      <w:r w:rsidR="003B3FF4">
        <w:rPr>
          <w:b/>
          <w:bCs/>
        </w:rPr>
        <w:t xml:space="preserve"> důležit</w:t>
      </w:r>
      <w:r w:rsidR="00331EEF">
        <w:rPr>
          <w:b/>
          <w:bCs/>
        </w:rPr>
        <w:t>á</w:t>
      </w:r>
      <w:r w:rsidR="003B3FF4">
        <w:rPr>
          <w:b/>
          <w:bCs/>
        </w:rPr>
        <w:t xml:space="preserve"> pro správu budov </w:t>
      </w:r>
    </w:p>
    <w:p w14:paraId="2F619561" w14:textId="46E07F99" w:rsidR="00514BEB" w:rsidRDefault="00C235FE" w:rsidP="00514BEB">
      <w:r>
        <w:t xml:space="preserve">Směrnicemi se provozovatelé budov budou muset řídit také v dalších oblastech. </w:t>
      </w:r>
      <w:r w:rsidR="00664D9F">
        <w:t>Z hlediska životního prostředí b</w:t>
      </w:r>
      <w:r>
        <w:t>udou sledovat efektivitu zdrojů (redukování spotřeby energií a vody, racionalizace portfolia a efektivní provoz budov), o</w:t>
      </w:r>
      <w:r w:rsidR="00514BEB">
        <w:t>bnovitelné zdroje</w:t>
      </w:r>
      <w:r>
        <w:t xml:space="preserve"> (n</w:t>
      </w:r>
      <w:r w:rsidR="00514BEB">
        <w:t>áhrada uhlíkově náročných zdrojů energie za zdroje šetrné k</w:t>
      </w:r>
      <w:r>
        <w:t> </w:t>
      </w:r>
      <w:r w:rsidR="00514BEB">
        <w:t>životnímu</w:t>
      </w:r>
      <w:r>
        <w:t xml:space="preserve"> prostředí), k</w:t>
      </w:r>
      <w:r w:rsidR="00514BEB">
        <w:t>redity a kompenzace</w:t>
      </w:r>
      <w:r>
        <w:t xml:space="preserve"> (</w:t>
      </w:r>
      <w:r w:rsidR="00514BEB">
        <w:t>nelze-li standardů</w:t>
      </w:r>
      <w:r>
        <w:t xml:space="preserve"> u budov</w:t>
      </w:r>
      <w:r w:rsidR="00514BEB">
        <w:t xml:space="preserve"> dosáhnout, je možné přebytečné emise kompenzovat</w:t>
      </w:r>
      <w:r w:rsidRPr="007847A4">
        <w:t>), h</w:t>
      </w:r>
      <w:r w:rsidR="00514BEB" w:rsidRPr="007847A4">
        <w:t>odnot</w:t>
      </w:r>
      <w:r w:rsidR="00CA1DC5" w:rsidRPr="007847A4">
        <w:t>u</w:t>
      </w:r>
      <w:r w:rsidR="00514BEB">
        <w:t xml:space="preserve"> a dodavatelský řetězec</w:t>
      </w:r>
      <w:r>
        <w:t xml:space="preserve"> (zde je součástí také recyklace a odpadové hospodářství), přeprav</w:t>
      </w:r>
      <w:r w:rsidR="00CA1DC5">
        <w:t>u</w:t>
      </w:r>
      <w:r>
        <w:t xml:space="preserve"> (zde například </w:t>
      </w:r>
      <w:r w:rsidR="00514BEB">
        <w:t>instalace nabíjecích stanic pro elektromobily</w:t>
      </w:r>
      <w:r>
        <w:t xml:space="preserve"> či</w:t>
      </w:r>
      <w:r w:rsidR="00514BEB">
        <w:t xml:space="preserve"> minimalizace dopravních vzdáleností</w:t>
      </w:r>
      <w:r>
        <w:t>).</w:t>
      </w:r>
    </w:p>
    <w:p w14:paraId="7B20A9E8" w14:textId="2D8BECDC" w:rsidR="00C45B6D" w:rsidRDefault="00664D9F" w:rsidP="00514BEB">
      <w:r>
        <w:t>Sledovat se bude také sociální hledisk</w:t>
      </w:r>
      <w:r w:rsidR="003B3FF4">
        <w:t>o</w:t>
      </w:r>
      <w:r>
        <w:t>.</w:t>
      </w:r>
      <w:r w:rsidR="00514BEB">
        <w:t xml:space="preserve"> Zdraví a bezpečnost</w:t>
      </w:r>
      <w:r>
        <w:t xml:space="preserve"> (zajištění bezpečí, kvalita vzduchu, úklid a čistota), k</w:t>
      </w:r>
      <w:r w:rsidR="00514BEB">
        <w:t>omfort</w:t>
      </w:r>
      <w:r>
        <w:t xml:space="preserve"> (</w:t>
      </w:r>
      <w:r w:rsidR="00514BEB">
        <w:t>optimalizace teploty, vlhkosti, akustik</w:t>
      </w:r>
      <w:r w:rsidR="00CA1DC5">
        <w:t>y</w:t>
      </w:r>
      <w:r w:rsidR="00514BEB">
        <w:t xml:space="preserve"> a osvětlení</w:t>
      </w:r>
      <w:r>
        <w:t>) či tzv. a</w:t>
      </w:r>
      <w:r w:rsidR="00514BEB">
        <w:t>ngažování budov</w:t>
      </w:r>
      <w:r>
        <w:t>y (u</w:t>
      </w:r>
      <w:r w:rsidR="00514BEB">
        <w:t xml:space="preserve">snadnění interakce </w:t>
      </w:r>
      <w:r>
        <w:t>s uživatel</w:t>
      </w:r>
      <w:r w:rsidR="009E0D10">
        <w:t>i budovy</w:t>
      </w:r>
      <w:r>
        <w:t>).</w:t>
      </w:r>
    </w:p>
    <w:p w14:paraId="23B22413" w14:textId="0FCD4103" w:rsidR="003B3FF4" w:rsidRPr="009E15E0" w:rsidRDefault="003B3FF4" w:rsidP="003B3FF4">
      <w:r>
        <w:t xml:space="preserve">„Moderní budovy jsou na tuto situaci připraveny lépe. </w:t>
      </w:r>
      <w:r w:rsidRPr="00790813">
        <w:t>V realitách se v tomto ohledu začaly</w:t>
      </w:r>
      <w:r>
        <w:t xml:space="preserve"> před lety</w:t>
      </w:r>
      <w:r w:rsidRPr="00790813">
        <w:t xml:space="preserve"> používat certifikace jako LEED, BREAM nebo WELL, které vyhodnocují míru udržitelnosti budovy.</w:t>
      </w:r>
      <w:r>
        <w:t xml:space="preserve"> U starších budov je pak pro jejich provozovatele nejvyšší čas tyto otázky řešit co nejdříve,“ </w:t>
      </w:r>
      <w:r w:rsidRPr="002D4A9C">
        <w:rPr>
          <w:rFonts w:cstheme="minorHAnsi"/>
          <w:color w:val="000000"/>
          <w:shd w:val="clear" w:color="auto" w:fill="FFFFFF"/>
        </w:rPr>
        <w:t>říká Ondřej Mareček z SSI Group</w:t>
      </w:r>
      <w:r>
        <w:rPr>
          <w:rFonts w:cstheme="minorHAnsi"/>
          <w:color w:val="000000"/>
          <w:shd w:val="clear" w:color="auto" w:fill="FFFFFF"/>
        </w:rPr>
        <w:t>.</w:t>
      </w:r>
    </w:p>
    <w:p w14:paraId="4D2BC85B" w14:textId="77777777" w:rsidR="003B3FF4" w:rsidRDefault="003B3FF4" w:rsidP="00514BEB"/>
    <w:p w14:paraId="6644E7F3" w14:textId="77777777" w:rsidR="00C235FE" w:rsidRDefault="00C235FE" w:rsidP="00514BEB"/>
    <w:p w14:paraId="3A58385A" w14:textId="77777777" w:rsidR="006C6C85" w:rsidRPr="00AF3ADB" w:rsidRDefault="00000000">
      <w:pPr>
        <w:rPr>
          <w:rFonts w:ascii="Calibri" w:hAnsi="Calibri" w:cs="Calibri"/>
        </w:rPr>
      </w:pPr>
    </w:p>
    <w:sectPr w:rsidR="006C6C85" w:rsidRPr="00AF3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DB565" w14:textId="77777777" w:rsidR="00B873EE" w:rsidRDefault="00B873EE" w:rsidP="00AF3ADB">
      <w:pPr>
        <w:spacing w:after="0" w:line="240" w:lineRule="auto"/>
      </w:pPr>
      <w:r>
        <w:separator/>
      </w:r>
    </w:p>
  </w:endnote>
  <w:endnote w:type="continuationSeparator" w:id="0">
    <w:p w14:paraId="7D0F320F" w14:textId="77777777" w:rsidR="00B873EE" w:rsidRDefault="00B873EE" w:rsidP="00AF3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892F3" w14:textId="77777777" w:rsidR="00B873EE" w:rsidRDefault="00B873EE" w:rsidP="00AF3ADB">
      <w:pPr>
        <w:spacing w:after="0" w:line="240" w:lineRule="auto"/>
      </w:pPr>
      <w:r>
        <w:separator/>
      </w:r>
    </w:p>
  </w:footnote>
  <w:footnote w:type="continuationSeparator" w:id="0">
    <w:p w14:paraId="11EB78F0" w14:textId="77777777" w:rsidR="00B873EE" w:rsidRDefault="00B873EE" w:rsidP="00AF3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E681A"/>
    <w:multiLevelType w:val="hybridMultilevel"/>
    <w:tmpl w:val="E24E49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040ED"/>
    <w:multiLevelType w:val="hybridMultilevel"/>
    <w:tmpl w:val="0A8AC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891965">
    <w:abstractNumId w:val="1"/>
  </w:num>
  <w:num w:numId="2" w16cid:durableId="818770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DB"/>
    <w:rsid w:val="0007538F"/>
    <w:rsid w:val="000F219B"/>
    <w:rsid w:val="00124249"/>
    <w:rsid w:val="0018519A"/>
    <w:rsid w:val="0022027C"/>
    <w:rsid w:val="0027352B"/>
    <w:rsid w:val="002C52A5"/>
    <w:rsid w:val="002D6C1E"/>
    <w:rsid w:val="002E0169"/>
    <w:rsid w:val="002E156A"/>
    <w:rsid w:val="00331EEF"/>
    <w:rsid w:val="00381C38"/>
    <w:rsid w:val="003B3FF4"/>
    <w:rsid w:val="003B4C07"/>
    <w:rsid w:val="003E7FC2"/>
    <w:rsid w:val="003F691E"/>
    <w:rsid w:val="00472D04"/>
    <w:rsid w:val="005041CA"/>
    <w:rsid w:val="00514BEB"/>
    <w:rsid w:val="00522408"/>
    <w:rsid w:val="0052576A"/>
    <w:rsid w:val="005301EF"/>
    <w:rsid w:val="005A0890"/>
    <w:rsid w:val="005C1D31"/>
    <w:rsid w:val="005E535F"/>
    <w:rsid w:val="00600211"/>
    <w:rsid w:val="00624E60"/>
    <w:rsid w:val="006402BB"/>
    <w:rsid w:val="00664D9F"/>
    <w:rsid w:val="00670420"/>
    <w:rsid w:val="006E58DB"/>
    <w:rsid w:val="006F38D4"/>
    <w:rsid w:val="00723448"/>
    <w:rsid w:val="00735C00"/>
    <w:rsid w:val="00742576"/>
    <w:rsid w:val="00782FB3"/>
    <w:rsid w:val="007847A4"/>
    <w:rsid w:val="00790813"/>
    <w:rsid w:val="007C4958"/>
    <w:rsid w:val="00884839"/>
    <w:rsid w:val="008C642A"/>
    <w:rsid w:val="00905D14"/>
    <w:rsid w:val="0094232A"/>
    <w:rsid w:val="00995E20"/>
    <w:rsid w:val="009D42B9"/>
    <w:rsid w:val="009E0D10"/>
    <w:rsid w:val="009E15E0"/>
    <w:rsid w:val="00A97182"/>
    <w:rsid w:val="00AA13FB"/>
    <w:rsid w:val="00AA54E2"/>
    <w:rsid w:val="00AF3ADB"/>
    <w:rsid w:val="00B47E77"/>
    <w:rsid w:val="00B50D79"/>
    <w:rsid w:val="00B829A0"/>
    <w:rsid w:val="00B873EE"/>
    <w:rsid w:val="00BA675F"/>
    <w:rsid w:val="00BB7A84"/>
    <w:rsid w:val="00BE0096"/>
    <w:rsid w:val="00BE39FB"/>
    <w:rsid w:val="00C1292C"/>
    <w:rsid w:val="00C235FE"/>
    <w:rsid w:val="00C25003"/>
    <w:rsid w:val="00C32254"/>
    <w:rsid w:val="00C36C57"/>
    <w:rsid w:val="00C45B6D"/>
    <w:rsid w:val="00C60D37"/>
    <w:rsid w:val="00CA1DC5"/>
    <w:rsid w:val="00CB73A6"/>
    <w:rsid w:val="00CD19B5"/>
    <w:rsid w:val="00CE0AD1"/>
    <w:rsid w:val="00CE3F95"/>
    <w:rsid w:val="00CE7363"/>
    <w:rsid w:val="00D3689D"/>
    <w:rsid w:val="00D518A9"/>
    <w:rsid w:val="00D6242E"/>
    <w:rsid w:val="00D91455"/>
    <w:rsid w:val="00D9336A"/>
    <w:rsid w:val="00DF3600"/>
    <w:rsid w:val="00E12A6A"/>
    <w:rsid w:val="00E16DB0"/>
    <w:rsid w:val="00E8291A"/>
    <w:rsid w:val="00E93040"/>
    <w:rsid w:val="00EA40AF"/>
    <w:rsid w:val="00EE64C4"/>
    <w:rsid w:val="00F41276"/>
    <w:rsid w:val="00F540D2"/>
    <w:rsid w:val="00FC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97DDB"/>
  <w15:chartTrackingRefBased/>
  <w15:docId w15:val="{0D550DF9-A6B9-4ACC-A188-401B6DD27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F3A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3A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2E016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518A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E16D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6DB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6DB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6D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6D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0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9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3675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2023-05-28T21:17:00Z</dcterms:created>
  <dcterms:modified xsi:type="dcterms:W3CDTF">2023-05-28T21:17:00Z</dcterms:modified>
  <cp:category/>
</cp:coreProperties>
</file>