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CF9ED" w14:textId="77777777" w:rsidR="00AC255D" w:rsidRDefault="00AC255D" w:rsidP="00920447">
      <w:pPr>
        <w:rPr>
          <w:b/>
          <w:bCs/>
          <w:lang w:val="cs-CZ"/>
        </w:rPr>
      </w:pPr>
    </w:p>
    <w:p w14:paraId="2F4BCB8A" w14:textId="15F9890A" w:rsidR="00AC255D" w:rsidRPr="004A28A8" w:rsidRDefault="00AC255D" w:rsidP="00AC255D">
      <w:pPr>
        <w:pStyle w:val="Zkladntext"/>
        <w:spacing w:after="192" w:line="276" w:lineRule="auto"/>
        <w:jc w:val="left"/>
        <w:rPr>
          <w:sz w:val="28"/>
          <w:szCs w:val="28"/>
          <w:lang w:val="cs-CZ"/>
        </w:rPr>
      </w:pPr>
      <w:r w:rsidRPr="004A28A8">
        <w:rPr>
          <w:sz w:val="28"/>
          <w:szCs w:val="28"/>
          <w:lang w:val="cs-CZ"/>
        </w:rPr>
        <w:t>TISKOVÁ ZPRÁVA</w:t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="00A820CA">
        <w:rPr>
          <w:sz w:val="28"/>
          <w:szCs w:val="28"/>
          <w:lang w:val="cs-CZ"/>
        </w:rPr>
        <w:t>1. 6</w:t>
      </w:r>
      <w:r w:rsidRPr="004A28A8">
        <w:rPr>
          <w:sz w:val="28"/>
          <w:szCs w:val="28"/>
          <w:lang w:val="cs-CZ"/>
        </w:rPr>
        <w:t>. 2023</w:t>
      </w:r>
    </w:p>
    <w:p w14:paraId="6D6F2DC2" w14:textId="77777777" w:rsidR="00AC255D" w:rsidRDefault="00AC255D" w:rsidP="00920447">
      <w:pPr>
        <w:rPr>
          <w:b/>
          <w:bCs/>
          <w:lang w:val="cs-CZ"/>
        </w:rPr>
      </w:pPr>
    </w:p>
    <w:p w14:paraId="247D2170" w14:textId="77777777" w:rsidR="00221B98" w:rsidRDefault="00221B98" w:rsidP="00AC255D">
      <w:pPr>
        <w:jc w:val="center"/>
        <w:rPr>
          <w:b/>
          <w:bCs/>
          <w:sz w:val="32"/>
          <w:szCs w:val="32"/>
          <w:lang w:val="cs-CZ"/>
        </w:rPr>
      </w:pPr>
    </w:p>
    <w:p w14:paraId="0399B43C" w14:textId="00A39DDC" w:rsidR="00AC255D" w:rsidRDefault="0091222D" w:rsidP="0091222D">
      <w:pPr>
        <w:jc w:val="center"/>
        <w:rPr>
          <w:b/>
          <w:bCs/>
          <w:sz w:val="32"/>
          <w:szCs w:val="32"/>
          <w:lang w:val="cs-CZ"/>
        </w:rPr>
      </w:pPr>
      <w:r w:rsidRPr="0091222D">
        <w:rPr>
          <w:b/>
          <w:bCs/>
          <w:sz w:val="32"/>
          <w:szCs w:val="32"/>
          <w:lang w:val="cs-CZ"/>
        </w:rPr>
        <w:t>Digitální technologie nejsou vše. Banky musí obnovit osobní vztahy se zákazníky, říká nový průzkum Accenture</w:t>
      </w:r>
    </w:p>
    <w:p w14:paraId="0BE7613A" w14:textId="77777777" w:rsidR="0091222D" w:rsidRPr="00AF3E21" w:rsidRDefault="0091222D" w:rsidP="0091222D">
      <w:pPr>
        <w:jc w:val="center"/>
        <w:rPr>
          <w:b/>
          <w:bCs/>
          <w:lang w:val="cs-CZ"/>
        </w:rPr>
      </w:pPr>
    </w:p>
    <w:p w14:paraId="3CBD7866" w14:textId="108D1C6A" w:rsidR="0091222D" w:rsidRPr="0091222D" w:rsidRDefault="0091222D" w:rsidP="0091222D">
      <w:pPr>
        <w:pStyle w:val="Odstavecseseznamem"/>
        <w:numPr>
          <w:ilvl w:val="0"/>
          <w:numId w:val="10"/>
        </w:numPr>
        <w:rPr>
          <w:b/>
          <w:bCs/>
          <w:i/>
          <w:iCs/>
          <w:lang w:val="cs-CZ"/>
        </w:rPr>
      </w:pPr>
      <w:r w:rsidRPr="0091222D">
        <w:rPr>
          <w:b/>
          <w:bCs/>
          <w:i/>
          <w:iCs/>
          <w:lang w:val="cs-CZ"/>
        </w:rPr>
        <w:t>Podle průzkumu Accenture méně, než jedna čtvrtina dotázaných spotřebitelů hodnotí svou banku „velmi dobře“, pokud jde o nabídku produktů, zákaznický servis na míru šité finanční poradenství</w:t>
      </w:r>
    </w:p>
    <w:p w14:paraId="4BC0AA56" w14:textId="1087D864" w:rsidR="0091222D" w:rsidRPr="0091222D" w:rsidRDefault="0091222D" w:rsidP="0091222D">
      <w:pPr>
        <w:pStyle w:val="Odstavecseseznamem"/>
        <w:numPr>
          <w:ilvl w:val="0"/>
          <w:numId w:val="10"/>
        </w:numPr>
        <w:rPr>
          <w:b/>
          <w:bCs/>
          <w:i/>
          <w:iCs/>
          <w:lang w:val="cs-CZ"/>
        </w:rPr>
      </w:pPr>
      <w:r w:rsidRPr="0091222D">
        <w:rPr>
          <w:b/>
          <w:bCs/>
          <w:i/>
          <w:iCs/>
          <w:lang w:val="cs-CZ"/>
        </w:rPr>
        <w:t>Až 59 % respondentů si v poslední době pořídilo finanční produkt od jiného poskytovatele než od své hlavní banky</w:t>
      </w:r>
    </w:p>
    <w:p w14:paraId="46A03F9F" w14:textId="7DE4950A" w:rsidR="0091222D" w:rsidRPr="0091222D" w:rsidRDefault="0091222D" w:rsidP="0091222D">
      <w:pPr>
        <w:pStyle w:val="Odstavecseseznamem"/>
        <w:numPr>
          <w:ilvl w:val="0"/>
          <w:numId w:val="10"/>
        </w:numPr>
        <w:rPr>
          <w:b/>
          <w:bCs/>
          <w:i/>
          <w:iCs/>
          <w:lang w:val="cs-CZ"/>
        </w:rPr>
      </w:pPr>
      <w:r w:rsidRPr="0091222D">
        <w:rPr>
          <w:b/>
          <w:bCs/>
          <w:i/>
          <w:iCs/>
          <w:lang w:val="cs-CZ"/>
        </w:rPr>
        <w:t>Pokud by banky dokázaly vybudovat trvalejší vztahy, mohly by tím zvýšit příjmy od svých primárních zákazníků, a to až 20 % v závislosti na daném trhu</w:t>
      </w:r>
    </w:p>
    <w:p w14:paraId="2BAFFEAC" w14:textId="77777777" w:rsidR="0091222D" w:rsidRDefault="0091222D" w:rsidP="0091222D">
      <w:pPr>
        <w:rPr>
          <w:b/>
          <w:bCs/>
          <w:lang w:val="cs-CZ"/>
        </w:rPr>
      </w:pPr>
    </w:p>
    <w:p w14:paraId="7C8712B0" w14:textId="77777777" w:rsidR="0091222D" w:rsidRPr="003B4621" w:rsidRDefault="0091222D" w:rsidP="0091222D">
      <w:pPr>
        <w:rPr>
          <w:lang w:val="cs-CZ"/>
        </w:rPr>
      </w:pPr>
      <w:r w:rsidRPr="003B4621">
        <w:rPr>
          <w:lang w:val="cs-CZ"/>
        </w:rPr>
        <w:t xml:space="preserve">Podle aktuálního vydání studie </w:t>
      </w:r>
      <w:hyperlink r:id="rId8" w:anchor="zoom=40" w:history="1">
        <w:r w:rsidRPr="00F344D6">
          <w:rPr>
            <w:rStyle w:val="Hypertextovodkaz"/>
            <w:lang w:val="cs-CZ"/>
          </w:rPr>
          <w:t xml:space="preserve">Banking </w:t>
        </w:r>
        <w:proofErr w:type="spellStart"/>
        <w:r w:rsidRPr="00F344D6">
          <w:rPr>
            <w:rStyle w:val="Hypertextovodkaz"/>
            <w:lang w:val="cs-CZ"/>
          </w:rPr>
          <w:t>Consumer</w:t>
        </w:r>
        <w:proofErr w:type="spellEnd"/>
        <w:r w:rsidRPr="00F344D6">
          <w:rPr>
            <w:rStyle w:val="Hypertextovodkaz"/>
            <w:lang w:val="cs-CZ"/>
          </w:rPr>
          <w:t xml:space="preserve"> Study</w:t>
        </w:r>
      </w:hyperlink>
      <w:r w:rsidRPr="003B4621">
        <w:rPr>
          <w:lang w:val="cs-CZ"/>
        </w:rPr>
        <w:t>, vydávané každý rok společností Accenture, se vztahy mezi bankami a jejich klienty stávají čím dál více neosobní a jsou založené pouze na transakční bázi. Transformací svých obslužných kanálů, nabídkou relevantnějších produktů a služeb a budováním trvalejších vztahů se svými klienty</w:t>
      </w:r>
      <w:r>
        <w:rPr>
          <w:lang w:val="cs-CZ"/>
        </w:rPr>
        <w:t xml:space="preserve">. Pokud by banky transformovaly své obslužné kanály, budovaly trvalejší vztahy se svými klienty a nabídly jim relevantnější služby, mohly by tím lépe uspokojit finanční potřeby svých zákazníků a zároveň zvýšit i své vlastní příjmy.  </w:t>
      </w:r>
      <w:r w:rsidRPr="003B4621">
        <w:rPr>
          <w:lang w:val="cs-CZ"/>
        </w:rPr>
        <w:t xml:space="preserve"> </w:t>
      </w:r>
    </w:p>
    <w:p w14:paraId="64E4E498" w14:textId="77777777" w:rsidR="0091222D" w:rsidRPr="003B4621" w:rsidRDefault="0091222D" w:rsidP="0091222D">
      <w:pPr>
        <w:rPr>
          <w:lang w:val="cs-CZ"/>
        </w:rPr>
      </w:pPr>
      <w:r w:rsidRPr="003B4621">
        <w:rPr>
          <w:lang w:val="cs-CZ"/>
        </w:rPr>
        <w:t xml:space="preserve">Z průzkumu uskutečněného </w:t>
      </w:r>
      <w:r>
        <w:rPr>
          <w:lang w:val="cs-CZ"/>
        </w:rPr>
        <w:t xml:space="preserve">v rámci studie </w:t>
      </w:r>
      <w:r w:rsidRPr="003B4621">
        <w:rPr>
          <w:lang w:val="cs-CZ"/>
        </w:rPr>
        <w:t>mezi 49 000 spotřebiteli ve 33 zemích</w:t>
      </w:r>
      <w:r>
        <w:rPr>
          <w:lang w:val="cs-CZ"/>
        </w:rPr>
        <w:t xml:space="preserve"> </w:t>
      </w:r>
      <w:r w:rsidRPr="003B4621">
        <w:rPr>
          <w:lang w:val="cs-CZ"/>
        </w:rPr>
        <w:t xml:space="preserve">vyplývá, že pouze 30 % </w:t>
      </w:r>
      <w:r>
        <w:rPr>
          <w:lang w:val="cs-CZ"/>
        </w:rPr>
        <w:t xml:space="preserve">z nich </w:t>
      </w:r>
      <w:r w:rsidRPr="003B4621">
        <w:rPr>
          <w:lang w:val="cs-CZ"/>
        </w:rPr>
        <w:t>považuje zákaznický servis své primární banky za „</w:t>
      </w:r>
      <w:r w:rsidRPr="003B4621">
        <w:rPr>
          <w:i/>
          <w:iCs/>
          <w:lang w:val="cs-CZ"/>
        </w:rPr>
        <w:t>vynikající</w:t>
      </w:r>
      <w:r w:rsidRPr="003B4621">
        <w:rPr>
          <w:lang w:val="cs-CZ"/>
        </w:rPr>
        <w:t xml:space="preserve">“ a více než třetina respondentů (36 %) má problémy získat pomoc ze strany živé zákaznické podpory ve chvíli, kdy ji skutečně potřebuje.  </w:t>
      </w:r>
    </w:p>
    <w:p w14:paraId="3C228265" w14:textId="77777777" w:rsidR="0091222D" w:rsidRPr="003B4621" w:rsidRDefault="0091222D" w:rsidP="0091222D">
      <w:pPr>
        <w:rPr>
          <w:lang w:val="cs-CZ"/>
        </w:rPr>
      </w:pPr>
      <w:r w:rsidRPr="003B4621">
        <w:rPr>
          <w:lang w:val="cs-CZ"/>
        </w:rPr>
        <w:t>Pokud jde o rozsah nabízených produktů a služeb a kompetentnost na míru šitého finančního poradenství, jen 23 % respondentů podle průzkumu hodnotí svou banku „</w:t>
      </w:r>
      <w:r w:rsidRPr="003B4621">
        <w:rPr>
          <w:i/>
          <w:iCs/>
          <w:lang w:val="cs-CZ"/>
        </w:rPr>
        <w:t>velmi dobře</w:t>
      </w:r>
      <w:r w:rsidRPr="003B4621">
        <w:rPr>
          <w:lang w:val="cs-CZ"/>
        </w:rPr>
        <w:t xml:space="preserve">“. Tato nespokojenost pak stojí za tím, že spotřebitelé hledají nové poskytovatele bankovních služeb. </w:t>
      </w:r>
      <w:r>
        <w:rPr>
          <w:lang w:val="cs-CZ"/>
        </w:rPr>
        <w:t xml:space="preserve">Až </w:t>
      </w:r>
      <w:r w:rsidRPr="003B4621">
        <w:rPr>
          <w:lang w:val="cs-CZ"/>
        </w:rPr>
        <w:t>59 %</w:t>
      </w:r>
      <w:r>
        <w:rPr>
          <w:lang w:val="cs-CZ"/>
        </w:rPr>
        <w:t xml:space="preserve"> respondentů</w:t>
      </w:r>
      <w:r w:rsidRPr="003B4621">
        <w:rPr>
          <w:lang w:val="cs-CZ"/>
        </w:rPr>
        <w:t xml:space="preserve"> si v poslední době pořídilo finanční produkt od jiného poskytovatele než od své hlavní banky, přičemž více než polovina (52 %) všech respondentů využívá pouze služeb digitální banky.  </w:t>
      </w:r>
    </w:p>
    <w:p w14:paraId="12F13B1B" w14:textId="77777777" w:rsidR="0091222D" w:rsidRPr="003B4621" w:rsidRDefault="0091222D" w:rsidP="0091222D">
      <w:pPr>
        <w:rPr>
          <w:b/>
          <w:bCs/>
          <w:lang w:val="cs-CZ"/>
        </w:rPr>
      </w:pPr>
      <w:r w:rsidRPr="003B4621">
        <w:rPr>
          <w:b/>
          <w:bCs/>
          <w:lang w:val="cs-CZ"/>
        </w:rPr>
        <w:t xml:space="preserve">Bez ohledu na věk si spotřebitelé stále cení bankovních poboček </w:t>
      </w:r>
    </w:p>
    <w:p w14:paraId="4B752930" w14:textId="77777777" w:rsidR="0091222D" w:rsidRPr="003B4621" w:rsidRDefault="0091222D" w:rsidP="0091222D">
      <w:pPr>
        <w:rPr>
          <w:lang w:val="cs-CZ"/>
        </w:rPr>
      </w:pPr>
      <w:r w:rsidRPr="003B4621">
        <w:rPr>
          <w:lang w:val="cs-CZ"/>
        </w:rPr>
        <w:t xml:space="preserve">Ze zprávy také vyplývá, že ačkoliv mnoho bank nadále snižuje celkový počet svých poboček, </w:t>
      </w:r>
      <w:r>
        <w:rPr>
          <w:lang w:val="cs-CZ"/>
        </w:rPr>
        <w:t xml:space="preserve">pro spotřebitele považují </w:t>
      </w:r>
      <w:r w:rsidRPr="003B4621">
        <w:rPr>
          <w:lang w:val="cs-CZ"/>
        </w:rPr>
        <w:t xml:space="preserve">osobní přístup </w:t>
      </w:r>
      <w:r>
        <w:rPr>
          <w:lang w:val="cs-CZ"/>
        </w:rPr>
        <w:t>za důležitý</w:t>
      </w:r>
      <w:r w:rsidRPr="003B4621">
        <w:rPr>
          <w:lang w:val="cs-CZ"/>
        </w:rPr>
        <w:t>. Dvě třetiny (67 %) spotřebitelů všech věkových kategorií totiž uvádí, že rádi vidí bankovní pobočky ve svém okolí, neboť je mají spojené se stabilitou a dostupností služeb. A 63 % dotazovaných pak uvádí, že služeb na pobočce využív</w:t>
      </w:r>
      <w:r>
        <w:rPr>
          <w:lang w:val="cs-CZ"/>
        </w:rPr>
        <w:t>ají</w:t>
      </w:r>
      <w:r w:rsidRPr="003B4621">
        <w:rPr>
          <w:lang w:val="cs-CZ"/>
        </w:rPr>
        <w:t xml:space="preserve"> při řešení komplikovaných problémů.</w:t>
      </w:r>
    </w:p>
    <w:p w14:paraId="68BA00FC" w14:textId="3C2F3B31" w:rsidR="0091222D" w:rsidRPr="003B4621" w:rsidRDefault="0091222D" w:rsidP="0091222D">
      <w:pPr>
        <w:rPr>
          <w:lang w:val="cs-CZ"/>
        </w:rPr>
      </w:pPr>
      <w:r w:rsidRPr="003B4621">
        <w:rPr>
          <w:lang w:val="cs-CZ"/>
        </w:rPr>
        <w:lastRenderedPageBreak/>
        <w:t>S přetrvávající ekonomickou nejistotou se navíc spotřebitelé častěji obracejí na svou banku s žádostí o pomoc.</w:t>
      </w:r>
      <w:r>
        <w:rPr>
          <w:lang w:val="cs-CZ"/>
        </w:rPr>
        <w:t xml:space="preserve"> </w:t>
      </w:r>
      <w:r w:rsidRPr="003B4621">
        <w:rPr>
          <w:lang w:val="cs-CZ"/>
        </w:rPr>
        <w:t>Studie navrhuje, aby se pobočky změnily na poradenská centra a aby</w:t>
      </w:r>
      <w:r>
        <w:rPr>
          <w:lang w:val="cs-CZ"/>
        </w:rPr>
        <w:t xml:space="preserve"> zaměstnanci bank využili ke zlepšení vztahů se zákazníky také nových technologií, jejichž prostřednictvím by mohly nabízet více personalizované služby. </w:t>
      </w:r>
    </w:p>
    <w:p w14:paraId="42C4A8A0" w14:textId="12CD8321" w:rsidR="0091222D" w:rsidRPr="0091222D" w:rsidRDefault="0091222D" w:rsidP="0091222D">
      <w:pPr>
        <w:rPr>
          <w:lang w:val="cs-CZ"/>
        </w:rPr>
      </w:pPr>
      <w:r w:rsidRPr="0091222D">
        <w:rPr>
          <w:lang w:val="cs-CZ"/>
        </w:rPr>
        <w:t xml:space="preserve">„Řešením je například investice do nového digitálního jádra banky, které by bylo postavené na cloudu za použití Data </w:t>
      </w:r>
      <w:proofErr w:type="spellStart"/>
      <w:r w:rsidRPr="0091222D">
        <w:rPr>
          <w:lang w:val="cs-CZ"/>
        </w:rPr>
        <w:t>Mesh</w:t>
      </w:r>
      <w:proofErr w:type="spellEnd"/>
      <w:r w:rsidRPr="0091222D">
        <w:rPr>
          <w:lang w:val="cs-CZ"/>
        </w:rPr>
        <w:t xml:space="preserve"> technologie</w:t>
      </w:r>
      <w:r>
        <w:rPr>
          <w:lang w:val="cs-CZ"/>
        </w:rPr>
        <w:t>,</w:t>
      </w:r>
      <w:r w:rsidRPr="0091222D">
        <w:rPr>
          <w:lang w:val="cs-CZ"/>
        </w:rPr>
        <w:t xml:space="preserve"> a navíc prošpikované řadou dalších nových technolog</w:t>
      </w:r>
      <w:r>
        <w:rPr>
          <w:lang w:val="cs-CZ"/>
        </w:rPr>
        <w:t>i</w:t>
      </w:r>
      <w:r w:rsidRPr="0091222D">
        <w:rPr>
          <w:lang w:val="cs-CZ"/>
        </w:rPr>
        <w:t xml:space="preserve">í, jakými jsou umělá inteligence či analytické technologie. Pokud banky dokáží dobře zpracovat získávaná data, umožní jim to mnohem lépe identifikovat finanční záměry svých zákazníků, vést osobnější konverzace napříč fyzickými i digitálními kanály a poskytovat tak zákazníkům relevantní produkty a služby, včetně nebankovních nabídek,“ říká Karel </w:t>
      </w:r>
      <w:proofErr w:type="spellStart"/>
      <w:r w:rsidRPr="0091222D">
        <w:rPr>
          <w:lang w:val="cs-CZ"/>
        </w:rPr>
        <w:t>Kotoun</w:t>
      </w:r>
      <w:proofErr w:type="spellEnd"/>
      <w:r w:rsidRPr="0091222D">
        <w:rPr>
          <w:lang w:val="cs-CZ"/>
        </w:rPr>
        <w:t xml:space="preserve">, </w:t>
      </w:r>
      <w:proofErr w:type="spellStart"/>
      <w:r w:rsidRPr="0091222D">
        <w:t>který</w:t>
      </w:r>
      <w:proofErr w:type="spellEnd"/>
      <w:r w:rsidRPr="0091222D">
        <w:t xml:space="preserve"> v </w:t>
      </w:r>
      <w:proofErr w:type="spellStart"/>
      <w:r w:rsidRPr="0091222D">
        <w:t>české</w:t>
      </w:r>
      <w:proofErr w:type="spellEnd"/>
      <w:r w:rsidRPr="0091222D">
        <w:t xml:space="preserve"> </w:t>
      </w:r>
      <w:proofErr w:type="spellStart"/>
      <w:r w:rsidRPr="0091222D">
        <w:t>pobočce</w:t>
      </w:r>
      <w:proofErr w:type="spellEnd"/>
      <w:r w:rsidRPr="0091222D">
        <w:t xml:space="preserve"> Accenture </w:t>
      </w:r>
      <w:proofErr w:type="spellStart"/>
      <w:r w:rsidRPr="0091222D">
        <w:t>odpovídá</w:t>
      </w:r>
      <w:proofErr w:type="spellEnd"/>
      <w:r w:rsidRPr="0091222D">
        <w:t xml:space="preserve"> za oblast </w:t>
      </w:r>
      <w:proofErr w:type="spellStart"/>
      <w:r w:rsidRPr="0091222D">
        <w:t>bankovnictví</w:t>
      </w:r>
      <w:proofErr w:type="spellEnd"/>
      <w:r w:rsidRPr="0091222D">
        <w:t xml:space="preserve"> a </w:t>
      </w:r>
      <w:proofErr w:type="spellStart"/>
      <w:r w:rsidRPr="0091222D">
        <w:t>pojišťovnictví</w:t>
      </w:r>
      <w:proofErr w:type="spellEnd"/>
      <w:r w:rsidRPr="0091222D">
        <w:t>.</w:t>
      </w:r>
      <w:r w:rsidRPr="0091222D">
        <w:rPr>
          <w:b/>
          <w:bCs/>
        </w:rPr>
        <w:t xml:space="preserve">  </w:t>
      </w:r>
      <w:r w:rsidRPr="0091222D">
        <w:rPr>
          <w:lang w:val="cs-CZ"/>
        </w:rPr>
        <w:t xml:space="preserve">     </w:t>
      </w:r>
    </w:p>
    <w:p w14:paraId="0D85DD3E" w14:textId="77777777" w:rsidR="0091222D" w:rsidRDefault="0091222D" w:rsidP="0091222D">
      <w:pPr>
        <w:rPr>
          <w:lang w:val="cs-CZ"/>
        </w:rPr>
      </w:pPr>
      <w:r>
        <w:rPr>
          <w:lang w:val="cs-CZ"/>
        </w:rPr>
        <w:t>Studie dochází k závěrům</w:t>
      </w:r>
      <w:r w:rsidRPr="003B4621">
        <w:rPr>
          <w:lang w:val="cs-CZ"/>
        </w:rPr>
        <w:t>, že pokud by banky dokázaly vybudovat trvalejší vztahy, mohly by díky tomu zvýšit příjmy získané od svých primárních zákazníků</w:t>
      </w:r>
      <w:r>
        <w:rPr>
          <w:lang w:val="cs-CZ"/>
        </w:rPr>
        <w:t xml:space="preserve">, a to </w:t>
      </w:r>
      <w:r w:rsidRPr="003B4621">
        <w:rPr>
          <w:lang w:val="cs-CZ"/>
        </w:rPr>
        <w:t>až o 20 % v závislosti na daném trhu.</w:t>
      </w:r>
      <w:r>
        <w:rPr>
          <w:lang w:val="cs-CZ"/>
        </w:rPr>
        <w:t xml:space="preserve"> </w:t>
      </w:r>
    </w:p>
    <w:p w14:paraId="63854234" w14:textId="77777777" w:rsidR="0091222D" w:rsidRPr="00A36585" w:rsidRDefault="0091222D" w:rsidP="0091222D">
      <w:pPr>
        <w:rPr>
          <w:lang w:val="cs-CZ"/>
        </w:rPr>
      </w:pPr>
      <w:r>
        <w:rPr>
          <w:lang w:val="cs-CZ"/>
        </w:rPr>
        <w:t xml:space="preserve">Celou zprávu si můžete přečíst </w:t>
      </w:r>
      <w:hyperlink r:id="rId9" w:anchor="zoom=40" w:history="1">
        <w:r w:rsidRPr="00F344D6">
          <w:rPr>
            <w:rStyle w:val="Hypertextovodkaz"/>
            <w:lang w:val="cs-CZ"/>
          </w:rPr>
          <w:t>zde</w:t>
        </w:r>
      </w:hyperlink>
      <w:r>
        <w:rPr>
          <w:lang w:val="cs-CZ"/>
        </w:rPr>
        <w:t>.</w:t>
      </w:r>
    </w:p>
    <w:p w14:paraId="6F19EFE0" w14:textId="73F4A838" w:rsidR="006A649E" w:rsidRPr="00AF3E21" w:rsidRDefault="006A649E" w:rsidP="006A649E">
      <w:pPr>
        <w:rPr>
          <w:b/>
          <w:bCs/>
          <w:sz w:val="18"/>
          <w:szCs w:val="18"/>
          <w:lang w:val="cs-CZ"/>
        </w:rPr>
      </w:pPr>
      <w:r w:rsidRPr="00AF3E21">
        <w:rPr>
          <w:b/>
          <w:bCs/>
          <w:sz w:val="18"/>
          <w:szCs w:val="18"/>
          <w:lang w:val="cs-CZ"/>
        </w:rPr>
        <w:t>O společnosti Accenture</w:t>
      </w:r>
    </w:p>
    <w:p w14:paraId="51144482" w14:textId="77777777" w:rsidR="006A649E" w:rsidRPr="00AF3E21" w:rsidRDefault="006A649E" w:rsidP="006A649E">
      <w:pPr>
        <w:rPr>
          <w:rFonts w:cstheme="minorHAnsi"/>
          <w:sz w:val="18"/>
          <w:szCs w:val="18"/>
          <w:lang w:val="cs-CZ"/>
        </w:rPr>
      </w:pPr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Accenture je globální společnost poskytující profesionální služby v oblasti digitalizace, cloudu a kybernetické bezpečnosti. Díky propojení zkušeností a specializovaných dovedností ve více než 40 průmyslových odvětvích nabízíme služby v oblastech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Strategy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&amp;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Consulting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, Technology,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Operations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a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Accenture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Song – a to díky podpoře největší celosvětové sítě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Advanced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Technology a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Intelligent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Operations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center. Našich 738 000 zaměstnanců využívá možnosti nejnovějších technologií i lidské vynalézavosti v práci pro klienty ve více než 120 zemích. Díky síle změn vytváříme hodnoty a zvyšujeme úspěšnost našich klientů, lidí, akcionářů, partnerů i celé společnosti. </w:t>
      </w:r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br/>
        <w:t>Navštivte nás na </w:t>
      </w:r>
      <w:hyperlink r:id="rId10" w:tgtFrame="_self" w:history="1">
        <w:r w:rsidRPr="00AF3E21">
          <w:rPr>
            <w:rStyle w:val="Hypertextovodkaz"/>
            <w:rFonts w:cstheme="minorHAnsi"/>
            <w:color w:val="004DFF"/>
            <w:sz w:val="18"/>
            <w:szCs w:val="18"/>
            <w:bdr w:val="none" w:sz="0" w:space="0" w:color="auto" w:frame="1"/>
            <w:shd w:val="clear" w:color="auto" w:fill="FFFFFF"/>
            <w:lang w:val="cs-CZ"/>
          </w:rPr>
          <w:t>www.accenture.com</w:t>
        </w:r>
      </w:hyperlink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 nebo </w:t>
      </w:r>
      <w:hyperlink r:id="rId11" w:tgtFrame="_self" w:history="1">
        <w:r w:rsidRPr="00AF3E21">
          <w:rPr>
            <w:rStyle w:val="Hypertextovodkaz"/>
            <w:rFonts w:cstheme="minorHAnsi"/>
            <w:color w:val="004DFF"/>
            <w:sz w:val="18"/>
            <w:szCs w:val="18"/>
            <w:bdr w:val="none" w:sz="0" w:space="0" w:color="auto" w:frame="1"/>
            <w:shd w:val="clear" w:color="auto" w:fill="FFFFFF"/>
            <w:lang w:val="cs-CZ"/>
          </w:rPr>
          <w:t>https://www.accenture.com/cz-en/about/company/newsroom</w:t>
        </w:r>
      </w:hyperlink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.</w:t>
      </w:r>
    </w:p>
    <w:p w14:paraId="6A5AE49A" w14:textId="77777777" w:rsidR="006A649E" w:rsidRPr="00C54A63" w:rsidRDefault="006A649E" w:rsidP="006A649E">
      <w:pPr>
        <w:rPr>
          <w:lang w:val="cs-CZ"/>
        </w:rPr>
      </w:pPr>
    </w:p>
    <w:p w14:paraId="56B33BE6" w14:textId="0E663587" w:rsidR="00920447" w:rsidRPr="00C54A63" w:rsidRDefault="00920447" w:rsidP="00920447">
      <w:pPr>
        <w:rPr>
          <w:lang w:val="cs-CZ"/>
        </w:rPr>
      </w:pPr>
    </w:p>
    <w:sectPr w:rsidR="00920447" w:rsidRPr="00C54A63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65002" w14:textId="77777777" w:rsidR="000A2073" w:rsidRDefault="000A2073" w:rsidP="00E87B6D">
      <w:pPr>
        <w:spacing w:after="0" w:line="240" w:lineRule="auto"/>
      </w:pPr>
      <w:r>
        <w:separator/>
      </w:r>
    </w:p>
  </w:endnote>
  <w:endnote w:type="continuationSeparator" w:id="0">
    <w:p w14:paraId="20366026" w14:textId="77777777" w:rsidR="000A2073" w:rsidRDefault="000A2073" w:rsidP="00E87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33CAD" w14:textId="77777777" w:rsidR="000A2073" w:rsidRDefault="000A2073" w:rsidP="00E87B6D">
      <w:pPr>
        <w:spacing w:after="0" w:line="240" w:lineRule="auto"/>
      </w:pPr>
      <w:r>
        <w:separator/>
      </w:r>
    </w:p>
  </w:footnote>
  <w:footnote w:type="continuationSeparator" w:id="0">
    <w:p w14:paraId="05E63E9B" w14:textId="77777777" w:rsidR="000A2073" w:rsidRDefault="000A2073" w:rsidP="00E87B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15103" w14:textId="5D8CB013" w:rsidR="00AC255D" w:rsidRPr="00AC255D" w:rsidRDefault="00AC255D" w:rsidP="00AC255D">
    <w:pPr>
      <w:pStyle w:val="Zhlav"/>
    </w:pPr>
    <w:r>
      <w:rPr>
        <w:noProof/>
      </w:rPr>
      <w:drawing>
        <wp:inline distT="0" distB="0" distL="0" distR="0" wp14:anchorId="794BA4D6" wp14:editId="40A98DA7">
          <wp:extent cx="1138793" cy="300271"/>
          <wp:effectExtent l="0" t="0" r="4445" b="5080"/>
          <wp:docPr id="1" name="Picture 1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570" cy="3315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10668"/>
    <w:multiLevelType w:val="hybridMultilevel"/>
    <w:tmpl w:val="7D8281B4"/>
    <w:lvl w:ilvl="0" w:tplc="BA3AE2DE">
      <w:start w:val="3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BA3AE2DE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1AA3409"/>
    <w:multiLevelType w:val="hybridMultilevel"/>
    <w:tmpl w:val="E5F457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33BE0"/>
    <w:multiLevelType w:val="hybridMultilevel"/>
    <w:tmpl w:val="5E123DF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D31CB"/>
    <w:multiLevelType w:val="hybridMultilevel"/>
    <w:tmpl w:val="FA7022BE"/>
    <w:lvl w:ilvl="0" w:tplc="BA3AE2DE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D3697A"/>
    <w:multiLevelType w:val="hybridMultilevel"/>
    <w:tmpl w:val="D89EC28A"/>
    <w:lvl w:ilvl="0" w:tplc="BA3AE2DE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A5BE07DE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4D9095C"/>
    <w:multiLevelType w:val="hybridMultilevel"/>
    <w:tmpl w:val="3170E3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28452D"/>
    <w:multiLevelType w:val="hybridMultilevel"/>
    <w:tmpl w:val="18503AC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1E1AC1"/>
    <w:multiLevelType w:val="hybridMultilevel"/>
    <w:tmpl w:val="2138D198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A3AE2DE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3262C9"/>
    <w:multiLevelType w:val="hybridMultilevel"/>
    <w:tmpl w:val="F2D691A8"/>
    <w:lvl w:ilvl="0" w:tplc="BA3AE2DE">
      <w:start w:val="3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BC1447E"/>
    <w:multiLevelType w:val="hybridMultilevel"/>
    <w:tmpl w:val="2DB4A3AC"/>
    <w:lvl w:ilvl="0" w:tplc="87763E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466143">
    <w:abstractNumId w:val="5"/>
  </w:num>
  <w:num w:numId="2" w16cid:durableId="768815191">
    <w:abstractNumId w:val="4"/>
  </w:num>
  <w:num w:numId="3" w16cid:durableId="515851503">
    <w:abstractNumId w:val="9"/>
  </w:num>
  <w:num w:numId="4" w16cid:durableId="966667417">
    <w:abstractNumId w:val="2"/>
  </w:num>
  <w:num w:numId="5" w16cid:durableId="1093940639">
    <w:abstractNumId w:val="6"/>
  </w:num>
  <w:num w:numId="6" w16cid:durableId="314378959">
    <w:abstractNumId w:val="7"/>
  </w:num>
  <w:num w:numId="7" w16cid:durableId="960378631">
    <w:abstractNumId w:val="8"/>
  </w:num>
  <w:num w:numId="8" w16cid:durableId="1265383601">
    <w:abstractNumId w:val="3"/>
  </w:num>
  <w:num w:numId="9" w16cid:durableId="39327201">
    <w:abstractNumId w:val="0"/>
  </w:num>
  <w:num w:numId="10" w16cid:durableId="226769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004"/>
    <w:rsid w:val="000007D9"/>
    <w:rsid w:val="00020954"/>
    <w:rsid w:val="00033CAC"/>
    <w:rsid w:val="00035217"/>
    <w:rsid w:val="000438FF"/>
    <w:rsid w:val="00045758"/>
    <w:rsid w:val="00046862"/>
    <w:rsid w:val="00051824"/>
    <w:rsid w:val="000524BD"/>
    <w:rsid w:val="000669AE"/>
    <w:rsid w:val="00066CC4"/>
    <w:rsid w:val="000724FA"/>
    <w:rsid w:val="00087156"/>
    <w:rsid w:val="000A0B93"/>
    <w:rsid w:val="000A2073"/>
    <w:rsid w:val="000A5DF1"/>
    <w:rsid w:val="000B097D"/>
    <w:rsid w:val="000B246C"/>
    <w:rsid w:val="000C6ED9"/>
    <w:rsid w:val="000D027A"/>
    <w:rsid w:val="000D2831"/>
    <w:rsid w:val="000E1B30"/>
    <w:rsid w:val="000F3DD3"/>
    <w:rsid w:val="00100FBA"/>
    <w:rsid w:val="00112D19"/>
    <w:rsid w:val="00113BC4"/>
    <w:rsid w:val="00113D38"/>
    <w:rsid w:val="00114C7C"/>
    <w:rsid w:val="0012356A"/>
    <w:rsid w:val="001240AB"/>
    <w:rsid w:val="00126072"/>
    <w:rsid w:val="0012615A"/>
    <w:rsid w:val="00147CBD"/>
    <w:rsid w:val="00150F0D"/>
    <w:rsid w:val="0015353D"/>
    <w:rsid w:val="00165ED7"/>
    <w:rsid w:val="001724A7"/>
    <w:rsid w:val="00177D95"/>
    <w:rsid w:val="001815E2"/>
    <w:rsid w:val="001841A7"/>
    <w:rsid w:val="00187125"/>
    <w:rsid w:val="001A7EB5"/>
    <w:rsid w:val="001B12CA"/>
    <w:rsid w:val="001B1DAE"/>
    <w:rsid w:val="001B54B6"/>
    <w:rsid w:val="001C4338"/>
    <w:rsid w:val="001C535C"/>
    <w:rsid w:val="001C7279"/>
    <w:rsid w:val="001D0F22"/>
    <w:rsid w:val="001D259F"/>
    <w:rsid w:val="001E53B2"/>
    <w:rsid w:val="001F08DB"/>
    <w:rsid w:val="001F1E43"/>
    <w:rsid w:val="001F3B6B"/>
    <w:rsid w:val="0021224E"/>
    <w:rsid w:val="0021495A"/>
    <w:rsid w:val="00221B98"/>
    <w:rsid w:val="00222790"/>
    <w:rsid w:val="00231003"/>
    <w:rsid w:val="002331E3"/>
    <w:rsid w:val="0025634B"/>
    <w:rsid w:val="00261056"/>
    <w:rsid w:val="0026455A"/>
    <w:rsid w:val="0026596F"/>
    <w:rsid w:val="00286215"/>
    <w:rsid w:val="00286571"/>
    <w:rsid w:val="00286683"/>
    <w:rsid w:val="002904AA"/>
    <w:rsid w:val="00292F81"/>
    <w:rsid w:val="002A1D27"/>
    <w:rsid w:val="002A33D7"/>
    <w:rsid w:val="002A3FAE"/>
    <w:rsid w:val="002A7BF6"/>
    <w:rsid w:val="002B4109"/>
    <w:rsid w:val="002B6942"/>
    <w:rsid w:val="002C154D"/>
    <w:rsid w:val="002C41D4"/>
    <w:rsid w:val="002C4568"/>
    <w:rsid w:val="002C5166"/>
    <w:rsid w:val="002C6B78"/>
    <w:rsid w:val="002D0D89"/>
    <w:rsid w:val="002D20E6"/>
    <w:rsid w:val="002D6D77"/>
    <w:rsid w:val="002E73D3"/>
    <w:rsid w:val="002F26B6"/>
    <w:rsid w:val="002F5875"/>
    <w:rsid w:val="00303B88"/>
    <w:rsid w:val="00304708"/>
    <w:rsid w:val="00304BC1"/>
    <w:rsid w:val="00320618"/>
    <w:rsid w:val="0032214D"/>
    <w:rsid w:val="003244EE"/>
    <w:rsid w:val="003446E3"/>
    <w:rsid w:val="00344AA1"/>
    <w:rsid w:val="0034537E"/>
    <w:rsid w:val="00354CD8"/>
    <w:rsid w:val="00371A06"/>
    <w:rsid w:val="0037257A"/>
    <w:rsid w:val="00373556"/>
    <w:rsid w:val="0037494E"/>
    <w:rsid w:val="003775A6"/>
    <w:rsid w:val="00382691"/>
    <w:rsid w:val="003840B7"/>
    <w:rsid w:val="00390BBA"/>
    <w:rsid w:val="0039119B"/>
    <w:rsid w:val="0039260D"/>
    <w:rsid w:val="003943C9"/>
    <w:rsid w:val="003A6F15"/>
    <w:rsid w:val="003B23A2"/>
    <w:rsid w:val="003B376A"/>
    <w:rsid w:val="003B4480"/>
    <w:rsid w:val="003C379F"/>
    <w:rsid w:val="003C510B"/>
    <w:rsid w:val="003C5321"/>
    <w:rsid w:val="003D0E3E"/>
    <w:rsid w:val="003E0C4E"/>
    <w:rsid w:val="003E10B3"/>
    <w:rsid w:val="003E245F"/>
    <w:rsid w:val="003E421D"/>
    <w:rsid w:val="003F0E41"/>
    <w:rsid w:val="00401E60"/>
    <w:rsid w:val="0041134C"/>
    <w:rsid w:val="00414434"/>
    <w:rsid w:val="004154A7"/>
    <w:rsid w:val="00422C8C"/>
    <w:rsid w:val="0043521E"/>
    <w:rsid w:val="0043667C"/>
    <w:rsid w:val="00450039"/>
    <w:rsid w:val="004510C7"/>
    <w:rsid w:val="00452EEE"/>
    <w:rsid w:val="00453B0D"/>
    <w:rsid w:val="00456E3C"/>
    <w:rsid w:val="004704A7"/>
    <w:rsid w:val="00470E95"/>
    <w:rsid w:val="00473A7D"/>
    <w:rsid w:val="00477FD6"/>
    <w:rsid w:val="00481287"/>
    <w:rsid w:val="00482716"/>
    <w:rsid w:val="00484422"/>
    <w:rsid w:val="00485E6B"/>
    <w:rsid w:val="0049249B"/>
    <w:rsid w:val="00492C85"/>
    <w:rsid w:val="004B0D45"/>
    <w:rsid w:val="004C5CBC"/>
    <w:rsid w:val="004D0131"/>
    <w:rsid w:val="004D42A9"/>
    <w:rsid w:val="004D50C7"/>
    <w:rsid w:val="004D605D"/>
    <w:rsid w:val="004E2116"/>
    <w:rsid w:val="004E333A"/>
    <w:rsid w:val="004E54C5"/>
    <w:rsid w:val="004F0F91"/>
    <w:rsid w:val="004F3F14"/>
    <w:rsid w:val="004F6D52"/>
    <w:rsid w:val="00501A9D"/>
    <w:rsid w:val="00503C29"/>
    <w:rsid w:val="00505784"/>
    <w:rsid w:val="00513AE6"/>
    <w:rsid w:val="00515E36"/>
    <w:rsid w:val="0052325D"/>
    <w:rsid w:val="00534F42"/>
    <w:rsid w:val="005367B5"/>
    <w:rsid w:val="005370A5"/>
    <w:rsid w:val="00540459"/>
    <w:rsid w:val="00553A39"/>
    <w:rsid w:val="00553AB9"/>
    <w:rsid w:val="005544E4"/>
    <w:rsid w:val="00556664"/>
    <w:rsid w:val="00562427"/>
    <w:rsid w:val="005722BD"/>
    <w:rsid w:val="00573025"/>
    <w:rsid w:val="00580A10"/>
    <w:rsid w:val="00583110"/>
    <w:rsid w:val="005862DC"/>
    <w:rsid w:val="00586A25"/>
    <w:rsid w:val="00592038"/>
    <w:rsid w:val="0059486A"/>
    <w:rsid w:val="0059597E"/>
    <w:rsid w:val="00597004"/>
    <w:rsid w:val="005A5D61"/>
    <w:rsid w:val="005B73AE"/>
    <w:rsid w:val="005C582E"/>
    <w:rsid w:val="005C6917"/>
    <w:rsid w:val="005D1F8D"/>
    <w:rsid w:val="005E6B5F"/>
    <w:rsid w:val="005E773A"/>
    <w:rsid w:val="005F4F02"/>
    <w:rsid w:val="00600F13"/>
    <w:rsid w:val="00606E73"/>
    <w:rsid w:val="00611FB7"/>
    <w:rsid w:val="006338B2"/>
    <w:rsid w:val="00634669"/>
    <w:rsid w:val="0063733A"/>
    <w:rsid w:val="0063774E"/>
    <w:rsid w:val="00637E1F"/>
    <w:rsid w:val="00640049"/>
    <w:rsid w:val="00641B8E"/>
    <w:rsid w:val="006513AD"/>
    <w:rsid w:val="00652223"/>
    <w:rsid w:val="0066068F"/>
    <w:rsid w:val="00663A84"/>
    <w:rsid w:val="00665548"/>
    <w:rsid w:val="0066629F"/>
    <w:rsid w:val="00667C5E"/>
    <w:rsid w:val="006758D5"/>
    <w:rsid w:val="006777BA"/>
    <w:rsid w:val="00677B94"/>
    <w:rsid w:val="006823BB"/>
    <w:rsid w:val="006918DA"/>
    <w:rsid w:val="006938FC"/>
    <w:rsid w:val="006A1D27"/>
    <w:rsid w:val="006A649E"/>
    <w:rsid w:val="006A66C0"/>
    <w:rsid w:val="006B6223"/>
    <w:rsid w:val="006C4FCA"/>
    <w:rsid w:val="006C574D"/>
    <w:rsid w:val="006C6BF8"/>
    <w:rsid w:val="006C7070"/>
    <w:rsid w:val="006D0B01"/>
    <w:rsid w:val="006D0F97"/>
    <w:rsid w:val="006D17BF"/>
    <w:rsid w:val="006D391A"/>
    <w:rsid w:val="006F68E3"/>
    <w:rsid w:val="00703073"/>
    <w:rsid w:val="007043CB"/>
    <w:rsid w:val="00707178"/>
    <w:rsid w:val="00710AF4"/>
    <w:rsid w:val="00713342"/>
    <w:rsid w:val="0072068D"/>
    <w:rsid w:val="0072252E"/>
    <w:rsid w:val="0072652E"/>
    <w:rsid w:val="007273EE"/>
    <w:rsid w:val="00740CDB"/>
    <w:rsid w:val="00740D5A"/>
    <w:rsid w:val="00755488"/>
    <w:rsid w:val="00770746"/>
    <w:rsid w:val="00771B68"/>
    <w:rsid w:val="00777405"/>
    <w:rsid w:val="0079324C"/>
    <w:rsid w:val="007B085A"/>
    <w:rsid w:val="007C3A18"/>
    <w:rsid w:val="007C3F8C"/>
    <w:rsid w:val="007C42DB"/>
    <w:rsid w:val="007C466A"/>
    <w:rsid w:val="007D127E"/>
    <w:rsid w:val="007D3ACC"/>
    <w:rsid w:val="007D3F40"/>
    <w:rsid w:val="007D5BE6"/>
    <w:rsid w:val="007E0029"/>
    <w:rsid w:val="007E0C15"/>
    <w:rsid w:val="007E183C"/>
    <w:rsid w:val="007E3C1A"/>
    <w:rsid w:val="007F0821"/>
    <w:rsid w:val="007F3EE1"/>
    <w:rsid w:val="0080237A"/>
    <w:rsid w:val="00803319"/>
    <w:rsid w:val="0080334C"/>
    <w:rsid w:val="00804AD7"/>
    <w:rsid w:val="008051BF"/>
    <w:rsid w:val="00814F7D"/>
    <w:rsid w:val="008229D2"/>
    <w:rsid w:val="0084351F"/>
    <w:rsid w:val="0084477A"/>
    <w:rsid w:val="00845717"/>
    <w:rsid w:val="00852F26"/>
    <w:rsid w:val="008538EC"/>
    <w:rsid w:val="00856060"/>
    <w:rsid w:val="00860C2E"/>
    <w:rsid w:val="008622FF"/>
    <w:rsid w:val="00864087"/>
    <w:rsid w:val="008732D9"/>
    <w:rsid w:val="0087459D"/>
    <w:rsid w:val="00881754"/>
    <w:rsid w:val="00881ABB"/>
    <w:rsid w:val="008833C4"/>
    <w:rsid w:val="008853DC"/>
    <w:rsid w:val="00891003"/>
    <w:rsid w:val="008940EB"/>
    <w:rsid w:val="008A2473"/>
    <w:rsid w:val="008A2FE3"/>
    <w:rsid w:val="008C42F7"/>
    <w:rsid w:val="008D18C2"/>
    <w:rsid w:val="008D1AEB"/>
    <w:rsid w:val="008D1DBA"/>
    <w:rsid w:val="008D5041"/>
    <w:rsid w:val="008E4EBC"/>
    <w:rsid w:val="008F2476"/>
    <w:rsid w:val="008F77E6"/>
    <w:rsid w:val="00903F39"/>
    <w:rsid w:val="009040C1"/>
    <w:rsid w:val="009054FA"/>
    <w:rsid w:val="00905A87"/>
    <w:rsid w:val="0090620F"/>
    <w:rsid w:val="009110DB"/>
    <w:rsid w:val="00911DDA"/>
    <w:rsid w:val="0091222D"/>
    <w:rsid w:val="0091292E"/>
    <w:rsid w:val="009140D0"/>
    <w:rsid w:val="00920447"/>
    <w:rsid w:val="00925325"/>
    <w:rsid w:val="00930776"/>
    <w:rsid w:val="00931440"/>
    <w:rsid w:val="00933B14"/>
    <w:rsid w:val="00934923"/>
    <w:rsid w:val="009367A5"/>
    <w:rsid w:val="009439A6"/>
    <w:rsid w:val="00946ABD"/>
    <w:rsid w:val="00952187"/>
    <w:rsid w:val="00954C70"/>
    <w:rsid w:val="0096398B"/>
    <w:rsid w:val="00965B41"/>
    <w:rsid w:val="00967CBA"/>
    <w:rsid w:val="00971FB4"/>
    <w:rsid w:val="009869C5"/>
    <w:rsid w:val="009879F3"/>
    <w:rsid w:val="00997CD0"/>
    <w:rsid w:val="009A0DD8"/>
    <w:rsid w:val="009B5C04"/>
    <w:rsid w:val="009B7CD6"/>
    <w:rsid w:val="009C319E"/>
    <w:rsid w:val="009C5566"/>
    <w:rsid w:val="009C5D56"/>
    <w:rsid w:val="009C7BDC"/>
    <w:rsid w:val="009D2051"/>
    <w:rsid w:val="009D2166"/>
    <w:rsid w:val="009D6403"/>
    <w:rsid w:val="009E1689"/>
    <w:rsid w:val="009E2500"/>
    <w:rsid w:val="009E3D58"/>
    <w:rsid w:val="009E420F"/>
    <w:rsid w:val="009F5A49"/>
    <w:rsid w:val="00A026E0"/>
    <w:rsid w:val="00A04D57"/>
    <w:rsid w:val="00A05AB4"/>
    <w:rsid w:val="00A13C03"/>
    <w:rsid w:val="00A211B0"/>
    <w:rsid w:val="00A2120E"/>
    <w:rsid w:val="00A3189F"/>
    <w:rsid w:val="00A32765"/>
    <w:rsid w:val="00A351AA"/>
    <w:rsid w:val="00A54EA8"/>
    <w:rsid w:val="00A60B7B"/>
    <w:rsid w:val="00A63CB4"/>
    <w:rsid w:val="00A72785"/>
    <w:rsid w:val="00A75A6C"/>
    <w:rsid w:val="00A820CA"/>
    <w:rsid w:val="00AA7779"/>
    <w:rsid w:val="00AB4227"/>
    <w:rsid w:val="00AC255D"/>
    <w:rsid w:val="00AC6158"/>
    <w:rsid w:val="00AC7405"/>
    <w:rsid w:val="00AD24E7"/>
    <w:rsid w:val="00AD3925"/>
    <w:rsid w:val="00AE234F"/>
    <w:rsid w:val="00AE2C1E"/>
    <w:rsid w:val="00AF3E21"/>
    <w:rsid w:val="00AF5164"/>
    <w:rsid w:val="00AF6CBC"/>
    <w:rsid w:val="00B02C3F"/>
    <w:rsid w:val="00B137C2"/>
    <w:rsid w:val="00B21320"/>
    <w:rsid w:val="00B215A5"/>
    <w:rsid w:val="00B26682"/>
    <w:rsid w:val="00B41F97"/>
    <w:rsid w:val="00B51A35"/>
    <w:rsid w:val="00B61C68"/>
    <w:rsid w:val="00B6589D"/>
    <w:rsid w:val="00B65C20"/>
    <w:rsid w:val="00B73C4F"/>
    <w:rsid w:val="00B75C93"/>
    <w:rsid w:val="00B92CA6"/>
    <w:rsid w:val="00BA64E1"/>
    <w:rsid w:val="00BC1441"/>
    <w:rsid w:val="00BC6A26"/>
    <w:rsid w:val="00BD1551"/>
    <w:rsid w:val="00BD4036"/>
    <w:rsid w:val="00BD513C"/>
    <w:rsid w:val="00BD5B9B"/>
    <w:rsid w:val="00BE0D7B"/>
    <w:rsid w:val="00BE0DA5"/>
    <w:rsid w:val="00BE2674"/>
    <w:rsid w:val="00BF1953"/>
    <w:rsid w:val="00BF736B"/>
    <w:rsid w:val="00C031B6"/>
    <w:rsid w:val="00C04308"/>
    <w:rsid w:val="00C12C7B"/>
    <w:rsid w:val="00C1567A"/>
    <w:rsid w:val="00C16890"/>
    <w:rsid w:val="00C235E9"/>
    <w:rsid w:val="00C315D6"/>
    <w:rsid w:val="00C360FC"/>
    <w:rsid w:val="00C43797"/>
    <w:rsid w:val="00C47386"/>
    <w:rsid w:val="00C511EB"/>
    <w:rsid w:val="00C54A63"/>
    <w:rsid w:val="00C54CF8"/>
    <w:rsid w:val="00C71626"/>
    <w:rsid w:val="00C719B0"/>
    <w:rsid w:val="00C740DA"/>
    <w:rsid w:val="00C75E5E"/>
    <w:rsid w:val="00C83A3B"/>
    <w:rsid w:val="00C86B6D"/>
    <w:rsid w:val="00C87AB8"/>
    <w:rsid w:val="00C93D7C"/>
    <w:rsid w:val="00CA3443"/>
    <w:rsid w:val="00CA732A"/>
    <w:rsid w:val="00CB0841"/>
    <w:rsid w:val="00CC14D2"/>
    <w:rsid w:val="00CC2F6A"/>
    <w:rsid w:val="00CC501C"/>
    <w:rsid w:val="00CD4FAA"/>
    <w:rsid w:val="00CD5656"/>
    <w:rsid w:val="00CE07C5"/>
    <w:rsid w:val="00CE2072"/>
    <w:rsid w:val="00CE2DC4"/>
    <w:rsid w:val="00CF0697"/>
    <w:rsid w:val="00CF5252"/>
    <w:rsid w:val="00CF7B69"/>
    <w:rsid w:val="00D126F8"/>
    <w:rsid w:val="00D201B9"/>
    <w:rsid w:val="00D211DA"/>
    <w:rsid w:val="00D30B89"/>
    <w:rsid w:val="00D30DAD"/>
    <w:rsid w:val="00D36675"/>
    <w:rsid w:val="00D37A28"/>
    <w:rsid w:val="00D40C2F"/>
    <w:rsid w:val="00D4134C"/>
    <w:rsid w:val="00D55D15"/>
    <w:rsid w:val="00D55F83"/>
    <w:rsid w:val="00D821B7"/>
    <w:rsid w:val="00D92954"/>
    <w:rsid w:val="00D97A98"/>
    <w:rsid w:val="00DA24C7"/>
    <w:rsid w:val="00DC1020"/>
    <w:rsid w:val="00DC3EEF"/>
    <w:rsid w:val="00DC56FC"/>
    <w:rsid w:val="00DC6884"/>
    <w:rsid w:val="00DD03F7"/>
    <w:rsid w:val="00DD2F59"/>
    <w:rsid w:val="00DD55BF"/>
    <w:rsid w:val="00DD7E32"/>
    <w:rsid w:val="00DE526B"/>
    <w:rsid w:val="00DE7245"/>
    <w:rsid w:val="00DF6521"/>
    <w:rsid w:val="00E02D29"/>
    <w:rsid w:val="00E07581"/>
    <w:rsid w:val="00E15EE8"/>
    <w:rsid w:val="00E175E2"/>
    <w:rsid w:val="00E23375"/>
    <w:rsid w:val="00E275FE"/>
    <w:rsid w:val="00E315DC"/>
    <w:rsid w:val="00E31620"/>
    <w:rsid w:val="00E3684E"/>
    <w:rsid w:val="00E41111"/>
    <w:rsid w:val="00E56E5C"/>
    <w:rsid w:val="00E64091"/>
    <w:rsid w:val="00E70655"/>
    <w:rsid w:val="00E71B20"/>
    <w:rsid w:val="00E76397"/>
    <w:rsid w:val="00E86470"/>
    <w:rsid w:val="00E869DB"/>
    <w:rsid w:val="00E87B6D"/>
    <w:rsid w:val="00EA22B6"/>
    <w:rsid w:val="00EB0242"/>
    <w:rsid w:val="00EB3E83"/>
    <w:rsid w:val="00EC002F"/>
    <w:rsid w:val="00EC235F"/>
    <w:rsid w:val="00ED4AAB"/>
    <w:rsid w:val="00EE0025"/>
    <w:rsid w:val="00EE2C60"/>
    <w:rsid w:val="00EF04F4"/>
    <w:rsid w:val="00EF14FD"/>
    <w:rsid w:val="00EF2133"/>
    <w:rsid w:val="00EF2257"/>
    <w:rsid w:val="00EF63AE"/>
    <w:rsid w:val="00EF7085"/>
    <w:rsid w:val="00EF7CC2"/>
    <w:rsid w:val="00F01E77"/>
    <w:rsid w:val="00F12A71"/>
    <w:rsid w:val="00F139E4"/>
    <w:rsid w:val="00F13B1C"/>
    <w:rsid w:val="00F172E9"/>
    <w:rsid w:val="00F22EAA"/>
    <w:rsid w:val="00F24C84"/>
    <w:rsid w:val="00F253EA"/>
    <w:rsid w:val="00F27998"/>
    <w:rsid w:val="00F30B4F"/>
    <w:rsid w:val="00F47010"/>
    <w:rsid w:val="00F64212"/>
    <w:rsid w:val="00F70D2F"/>
    <w:rsid w:val="00F9777F"/>
    <w:rsid w:val="00FB63F9"/>
    <w:rsid w:val="00FC6D63"/>
    <w:rsid w:val="00FC78DD"/>
    <w:rsid w:val="00FC7A8C"/>
    <w:rsid w:val="00FD0911"/>
    <w:rsid w:val="00FD448E"/>
    <w:rsid w:val="00FE0027"/>
    <w:rsid w:val="00FE1387"/>
    <w:rsid w:val="00FE4447"/>
    <w:rsid w:val="00FE7C3A"/>
    <w:rsid w:val="00FE7DD6"/>
    <w:rsid w:val="00FF26AB"/>
    <w:rsid w:val="00FF3799"/>
    <w:rsid w:val="00FF5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550D1"/>
  <w15:chartTrackingRefBased/>
  <w15:docId w15:val="{F6D4EB5A-8050-4DD5-89D4-ABFB18FBC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rynqvb">
    <w:name w:val="rynqvb"/>
    <w:basedOn w:val="Standardnpsmoodstavce"/>
    <w:rsid w:val="00AF5164"/>
  </w:style>
  <w:style w:type="character" w:styleId="Odkaznakoment">
    <w:name w:val="annotation reference"/>
    <w:basedOn w:val="Standardnpsmoodstavce"/>
    <w:uiPriority w:val="99"/>
    <w:semiHidden/>
    <w:unhideWhenUsed/>
    <w:rsid w:val="007D5BE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D5BE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D5BE6"/>
    <w:rPr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7D5BE6"/>
    <w:rPr>
      <w:color w:val="0563C1" w:themeColor="hyperlink"/>
      <w:u w:val="single"/>
    </w:rPr>
  </w:style>
  <w:style w:type="character" w:customStyle="1" w:styleId="hwtze">
    <w:name w:val="hwtze"/>
    <w:basedOn w:val="Standardnpsmoodstavce"/>
    <w:rsid w:val="00FF544B"/>
  </w:style>
  <w:style w:type="paragraph" w:styleId="Odstavecseseznamem">
    <w:name w:val="List Paragraph"/>
    <w:basedOn w:val="Normln"/>
    <w:uiPriority w:val="34"/>
    <w:qFormat/>
    <w:rsid w:val="000F3DD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E87B6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87B6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87B6D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E87B6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AC25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255D"/>
  </w:style>
  <w:style w:type="paragraph" w:styleId="Zpat">
    <w:name w:val="footer"/>
    <w:basedOn w:val="Normln"/>
    <w:link w:val="ZpatChar"/>
    <w:uiPriority w:val="99"/>
    <w:unhideWhenUsed/>
    <w:rsid w:val="00AC25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255D"/>
  </w:style>
  <w:style w:type="paragraph" w:styleId="Zkladntext">
    <w:name w:val="Body Text"/>
    <w:basedOn w:val="Normln"/>
    <w:link w:val="ZkladntextChar"/>
    <w:semiHidden/>
    <w:rsid w:val="00AC255D"/>
    <w:pPr>
      <w:spacing w:afterLines="80" w:after="80" w:line="300" w:lineRule="auto"/>
      <w:jc w:val="both"/>
    </w:pPr>
    <w:rPr>
      <w:rFonts w:ascii="Arial" w:eastAsia="Times New Roman" w:hAnsi="Arial" w:cs="Arial"/>
      <w:noProof/>
      <w:snapToGrid w:val="0"/>
      <w:sz w:val="20"/>
      <w:szCs w:val="20"/>
      <w:lang w:val="sk-SK"/>
    </w:rPr>
  </w:style>
  <w:style w:type="character" w:customStyle="1" w:styleId="ZkladntextChar">
    <w:name w:val="Základní text Char"/>
    <w:basedOn w:val="Standardnpsmoodstavce"/>
    <w:link w:val="Zkladntext"/>
    <w:semiHidden/>
    <w:rsid w:val="00AC255D"/>
    <w:rPr>
      <w:rFonts w:ascii="Arial" w:eastAsia="Times New Roman" w:hAnsi="Arial" w:cs="Arial"/>
      <w:noProof/>
      <w:snapToGrid w:val="0"/>
      <w:sz w:val="20"/>
      <w:szCs w:val="20"/>
      <w:lang w:val="sk-SK"/>
    </w:rPr>
  </w:style>
  <w:style w:type="paragraph" w:styleId="Revize">
    <w:name w:val="Revision"/>
    <w:hidden/>
    <w:uiPriority w:val="99"/>
    <w:semiHidden/>
    <w:rsid w:val="001D259F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221B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centure.com/content/dam/accenture/final/industry/banking/document/Accenture-Banking-Consumer-Study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ccenture.com/cz-en/about/company/newsro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accenture.com/cz-e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ccenture.com/content/dam/accenture/final/industry/banking/document/Accenture-Banking-Consumer-Study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8E98F-4105-4D2A-9893-AF97F7F1879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0793d39-0939-496d-b129-198edd916feb}" enabled="0" method="" siteId="{e0793d39-0939-496d-b129-198edd916fe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702</Words>
  <Characters>4142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</cp:lastModifiedBy>
  <cp:revision>2</cp:revision>
  <cp:lastPrinted>2023-04-25T08:52:00Z</cp:lastPrinted>
  <dcterms:created xsi:type="dcterms:W3CDTF">2023-06-11T19:32:00Z</dcterms:created>
  <dcterms:modified xsi:type="dcterms:W3CDTF">2023-06-11T19:32:00Z</dcterms:modified>
</cp:coreProperties>
</file>