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EDA3E" w14:textId="2ED2DB10" w:rsidR="00EA6E0E" w:rsidRDefault="00C345F8" w:rsidP="00F1753E">
      <w:pPr>
        <w:jc w:val="both"/>
        <w:rPr>
          <w:rFonts w:cstheme="minorHAnsi"/>
          <w:b/>
          <w:bCs/>
          <w:color w:val="000000" w:themeColor="text1"/>
          <w:sz w:val="28"/>
          <w:szCs w:val="28"/>
        </w:rPr>
      </w:pPr>
      <w:r w:rsidRPr="00EA6E0E">
        <w:rPr>
          <w:rFonts w:cstheme="minorHAnsi"/>
          <w:b/>
          <w:bCs/>
          <w:color w:val="000000" w:themeColor="text1"/>
          <w:sz w:val="28"/>
          <w:szCs w:val="28"/>
        </w:rPr>
        <w:t>Vysoký krevní tlak ne</w:t>
      </w:r>
      <w:r w:rsidR="00EA6E0E" w:rsidRPr="00EA6E0E">
        <w:rPr>
          <w:rFonts w:cstheme="minorHAnsi"/>
          <w:b/>
          <w:bCs/>
          <w:color w:val="000000" w:themeColor="text1"/>
          <w:sz w:val="28"/>
          <w:szCs w:val="28"/>
        </w:rPr>
        <w:t xml:space="preserve">ní radno podceňovat </w:t>
      </w:r>
      <w:r w:rsidR="00CE5F10">
        <w:rPr>
          <w:rFonts w:cstheme="minorHAnsi"/>
          <w:b/>
          <w:bCs/>
          <w:color w:val="000000" w:themeColor="text1"/>
          <w:sz w:val="28"/>
          <w:szCs w:val="28"/>
        </w:rPr>
        <w:t>již</w:t>
      </w:r>
      <w:r w:rsidR="00EA6E0E" w:rsidRPr="00EA6E0E">
        <w:rPr>
          <w:rFonts w:cstheme="minorHAnsi"/>
          <w:b/>
          <w:bCs/>
          <w:color w:val="000000" w:themeColor="text1"/>
          <w:sz w:val="28"/>
          <w:szCs w:val="28"/>
        </w:rPr>
        <w:t xml:space="preserve"> od mládí. </w:t>
      </w:r>
    </w:p>
    <w:p w14:paraId="7617B2A5" w14:textId="6A2ACB47" w:rsidR="008C6486" w:rsidRPr="00EA6E0E" w:rsidRDefault="00EA6E0E" w:rsidP="00F1753E">
      <w:pPr>
        <w:jc w:val="both"/>
        <w:rPr>
          <w:rFonts w:cstheme="minorHAnsi"/>
          <w:b/>
          <w:bCs/>
          <w:color w:val="000000" w:themeColor="text1"/>
          <w:sz w:val="28"/>
          <w:szCs w:val="28"/>
        </w:rPr>
      </w:pPr>
      <w:r w:rsidRPr="00EA6E0E">
        <w:rPr>
          <w:rFonts w:cstheme="minorHAnsi"/>
          <w:b/>
          <w:bCs/>
          <w:color w:val="000000" w:themeColor="text1"/>
          <w:sz w:val="28"/>
          <w:szCs w:val="28"/>
        </w:rPr>
        <w:t>M</w:t>
      </w:r>
      <w:r w:rsidR="00CE5EDD" w:rsidRPr="00EA6E0E">
        <w:rPr>
          <w:rFonts w:cstheme="minorHAnsi"/>
          <w:b/>
          <w:bCs/>
          <w:color w:val="000000" w:themeColor="text1"/>
          <w:sz w:val="28"/>
          <w:szCs w:val="28"/>
        </w:rPr>
        <w:t xml:space="preserve">ůže </w:t>
      </w:r>
      <w:r>
        <w:rPr>
          <w:rFonts w:cstheme="minorHAnsi"/>
          <w:b/>
          <w:bCs/>
          <w:color w:val="000000" w:themeColor="text1"/>
          <w:sz w:val="28"/>
          <w:szCs w:val="28"/>
        </w:rPr>
        <w:t xml:space="preserve">totiž </w:t>
      </w:r>
      <w:r w:rsidR="00CE5EDD" w:rsidRPr="00EA6E0E">
        <w:rPr>
          <w:rFonts w:cstheme="minorHAnsi"/>
          <w:b/>
          <w:bCs/>
          <w:color w:val="000000" w:themeColor="text1"/>
          <w:sz w:val="28"/>
          <w:szCs w:val="28"/>
        </w:rPr>
        <w:t>zvyšovat riziko demence až o 6</w:t>
      </w:r>
      <w:r>
        <w:rPr>
          <w:rFonts w:cstheme="minorHAnsi"/>
          <w:b/>
          <w:bCs/>
          <w:color w:val="000000" w:themeColor="text1"/>
          <w:sz w:val="28"/>
          <w:szCs w:val="28"/>
        </w:rPr>
        <w:t>0</w:t>
      </w:r>
      <w:r w:rsidR="00CE5EDD" w:rsidRPr="00EA6E0E">
        <w:rPr>
          <w:rFonts w:cstheme="minorHAnsi"/>
          <w:b/>
          <w:bCs/>
          <w:color w:val="000000" w:themeColor="text1"/>
          <w:sz w:val="28"/>
          <w:szCs w:val="28"/>
        </w:rPr>
        <w:t xml:space="preserve"> %</w:t>
      </w:r>
    </w:p>
    <w:p w14:paraId="44F5D761" w14:textId="77777777" w:rsidR="009A2DD1" w:rsidRPr="0079115F" w:rsidRDefault="009A2DD1" w:rsidP="00AA7788">
      <w:pPr>
        <w:jc w:val="center"/>
        <w:rPr>
          <w:rFonts w:cstheme="minorHAnsi"/>
          <w:color w:val="000000" w:themeColor="text1"/>
          <w:sz w:val="22"/>
          <w:szCs w:val="22"/>
        </w:rPr>
      </w:pPr>
    </w:p>
    <w:p w14:paraId="115D3255" w14:textId="45FE295A" w:rsidR="00C345F8" w:rsidRPr="0079115F" w:rsidRDefault="00333664" w:rsidP="00F1753E">
      <w:pPr>
        <w:jc w:val="both"/>
        <w:rPr>
          <w:rFonts w:cstheme="minorHAnsi"/>
          <w:b/>
          <w:bCs/>
          <w:color w:val="000000" w:themeColor="text1"/>
          <w:sz w:val="22"/>
          <w:szCs w:val="22"/>
        </w:rPr>
      </w:pPr>
      <w:r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Praha, </w:t>
      </w:r>
      <w:r w:rsidR="00926440">
        <w:rPr>
          <w:rFonts w:cstheme="minorHAnsi"/>
          <w:b/>
          <w:bCs/>
          <w:color w:val="000000" w:themeColor="text1"/>
          <w:sz w:val="22"/>
          <w:szCs w:val="22"/>
        </w:rPr>
        <w:t>3</w:t>
      </w:r>
      <w:r w:rsidRPr="0079115F">
        <w:rPr>
          <w:rFonts w:cstheme="minorHAnsi"/>
          <w:b/>
          <w:bCs/>
          <w:color w:val="000000" w:themeColor="text1"/>
          <w:sz w:val="22"/>
          <w:szCs w:val="22"/>
        </w:rPr>
        <w:t>. červ</w:t>
      </w:r>
      <w:r w:rsidR="00926440">
        <w:rPr>
          <w:rFonts w:cstheme="minorHAnsi"/>
          <w:b/>
          <w:bCs/>
          <w:color w:val="000000" w:themeColor="text1"/>
          <w:sz w:val="22"/>
          <w:szCs w:val="22"/>
        </w:rPr>
        <w:t>ence</w:t>
      </w:r>
      <w:r w:rsidR="006F130C">
        <w:rPr>
          <w:rFonts w:cstheme="minorHAnsi"/>
          <w:b/>
          <w:bCs/>
          <w:color w:val="000000" w:themeColor="text1"/>
          <w:sz w:val="22"/>
          <w:szCs w:val="22"/>
        </w:rPr>
        <w:t xml:space="preserve"> 2023</w:t>
      </w:r>
      <w:r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 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>–</w:t>
      </w:r>
      <w:r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 </w:t>
      </w:r>
      <w:r w:rsidR="00100718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Mozek a vysoký krevní tlak 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 xml:space="preserve">toho </w:t>
      </w:r>
      <w:r w:rsidR="00100718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mají společného více než se zdá. </w:t>
      </w:r>
      <w:r w:rsidR="00C345F8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Hypertenze neboli vysoký krevní tlak, je stav, který může mít vážné dopady na lidské zdraví. Lékařské výzkumy ukazují, že hypertenze v mládí může mít dlouhodobé následky, které se 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 xml:space="preserve">pak </w:t>
      </w:r>
      <w:r w:rsidR="00CE5F10" w:rsidRPr="0079115F">
        <w:rPr>
          <w:rFonts w:cstheme="minorHAnsi"/>
          <w:b/>
          <w:bCs/>
          <w:color w:val="000000" w:themeColor="text1"/>
          <w:sz w:val="22"/>
          <w:szCs w:val="22"/>
        </w:rPr>
        <w:t>projev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>í</w:t>
      </w:r>
      <w:r w:rsidR="00CE5F10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 </w:t>
      </w:r>
      <w:r w:rsidR="00C345F8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v pozdějším věku. Jedním z nejvýznamnějších rizikových faktorů je vznik demence, což je stav, spojený s postupným úbytkem kognitivních funkcí a poklesem 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 xml:space="preserve">fungování </w:t>
      </w:r>
      <w:r w:rsidR="00C345F8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paměti. </w:t>
      </w:r>
    </w:p>
    <w:p w14:paraId="766219FF" w14:textId="77777777" w:rsidR="00C345F8" w:rsidRPr="0079115F" w:rsidRDefault="00C345F8" w:rsidP="00F1753E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70D1A23B" w14:textId="18E88BF3" w:rsidR="00B51412" w:rsidRPr="0079115F" w:rsidRDefault="4ED7DDB2" w:rsidP="4BDDF69D">
      <w:pPr>
        <w:jc w:val="both"/>
        <w:rPr>
          <w:color w:val="000000" w:themeColor="text1"/>
          <w:sz w:val="22"/>
          <w:szCs w:val="22"/>
        </w:rPr>
      </w:pPr>
      <w:r w:rsidRPr="4ED7DDB2">
        <w:rPr>
          <w:color w:val="000000" w:themeColor="text1"/>
          <w:sz w:val="22"/>
          <w:szCs w:val="22"/>
        </w:rPr>
        <w:t>Lidé, které trápí hypertenze mají nejen vyšší riziko cévních mozkových příhod, ale i poklesu kognitivních funkcí a demence. Poškození mozku způsobené vysokým krevním tlakem se pak postupně rozvíjí, dokonce i u mladých lidí. Účinek vysokého tlaku krve na cévy se sčítá v průběhu času, a proto má hypertenze u mladších lidí větší riziko vzniku demence již ve středním věku. Pokud není hypertenze v mládí řádně kontrolována a trvá dlouhodobě, může to mít negativní dopad nejen na naše srdce ale i mozek, ledviny a cévy. Skoro polovina mladých pacientů s hypertenzí má ve věku 50 let poškozen jeden z těchto orgánů. Ale pokud se včas hypertenze léčí, lze negativní vývoj směrem k demenci příznivě ovlivnit. Důležité je zvolit správnou léčbu antihypertenzivními léky a jejich vhodnou kombinaci. U mladších jedinců s hypertenzí klademe důraz na změnu životního stylu, snažíme se zabránit tloustnutí, pacient by měl mít dostatek pohybu, zdravou výživu, neměl by kouřit, a naopak by měl mít pravidelné kontroly hodnot krevního tlaku. Pokud tato režimová opatření nestačí, dochází k nasazení antihypertenzní léčby.</w:t>
      </w:r>
    </w:p>
    <w:p w14:paraId="406FBD8C" w14:textId="77777777" w:rsidR="008C6486" w:rsidRPr="0079115F" w:rsidRDefault="008C6486" w:rsidP="00F1753E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50B864D1" w14:textId="20A6DEF5" w:rsidR="002A6432" w:rsidRPr="0079115F" w:rsidRDefault="005A46C7" w:rsidP="00F1753E">
      <w:pPr>
        <w:jc w:val="both"/>
        <w:rPr>
          <w:rFonts w:cstheme="minorHAnsi"/>
          <w:b/>
          <w:bCs/>
          <w:color w:val="000000" w:themeColor="text1"/>
          <w:sz w:val="22"/>
          <w:szCs w:val="22"/>
        </w:rPr>
      </w:pPr>
      <w:r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Počet pacientů s demencí se může </w:t>
      </w:r>
      <w:r w:rsidR="00CE5F10">
        <w:rPr>
          <w:rFonts w:cstheme="minorHAnsi"/>
          <w:b/>
          <w:bCs/>
          <w:color w:val="000000" w:themeColor="text1"/>
          <w:sz w:val="22"/>
          <w:szCs w:val="22"/>
        </w:rPr>
        <w:t>více než</w:t>
      </w:r>
      <w:r w:rsidR="00CE5F10" w:rsidRPr="0079115F">
        <w:rPr>
          <w:rFonts w:cstheme="minorHAnsi"/>
          <w:b/>
          <w:bCs/>
          <w:color w:val="000000" w:themeColor="text1"/>
          <w:sz w:val="22"/>
          <w:szCs w:val="22"/>
        </w:rPr>
        <w:t xml:space="preserve"> </w:t>
      </w:r>
      <w:r w:rsidRPr="0079115F">
        <w:rPr>
          <w:rFonts w:cstheme="minorHAnsi"/>
          <w:b/>
          <w:bCs/>
          <w:color w:val="000000" w:themeColor="text1"/>
          <w:sz w:val="22"/>
          <w:szCs w:val="22"/>
        </w:rPr>
        <w:t>dvojnásobit</w:t>
      </w:r>
    </w:p>
    <w:p w14:paraId="7DF2A7D6" w14:textId="0A8CDB83" w:rsidR="0079115F" w:rsidRPr="0079115F" w:rsidRDefault="00696AEC" w:rsidP="00A70542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9115F">
        <w:rPr>
          <w:rFonts w:cstheme="minorHAnsi"/>
          <w:color w:val="000000" w:themeColor="text1"/>
          <w:sz w:val="22"/>
          <w:szCs w:val="22"/>
        </w:rPr>
        <w:t xml:space="preserve">Nejen v ČR dochází vlivem stárnutí k nárůstu 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četných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kognitivní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ch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</w:t>
      </w:r>
      <w:r w:rsidR="00831E8B" w:rsidRPr="0079115F">
        <w:rPr>
          <w:rFonts w:cstheme="minorHAnsi"/>
          <w:color w:val="000000" w:themeColor="text1"/>
          <w:sz w:val="22"/>
          <w:szCs w:val="22"/>
        </w:rPr>
        <w:t>poruch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(problémy s pamětí, myšlení</w:t>
      </w:r>
      <w:r w:rsidR="00CE5F10">
        <w:rPr>
          <w:rFonts w:cstheme="minorHAnsi"/>
          <w:color w:val="000000" w:themeColor="text1"/>
          <w:sz w:val="22"/>
          <w:szCs w:val="22"/>
        </w:rPr>
        <w:t>m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apod).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Odhaduje se, že do roku 2050 se počet pacientů s demencí u nás více než zdvojnásobí ze stávajících 180 000 na 400 000 případů.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„A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k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rozvoji demence přispívá i hypertenze, a to cestou zvýšení tuhosti 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tepen v mozku</w:t>
      </w:r>
      <w:r w:rsidRPr="0079115F">
        <w:rPr>
          <w:rFonts w:cstheme="minorHAnsi"/>
          <w:color w:val="000000" w:themeColor="text1"/>
          <w:sz w:val="22"/>
          <w:szCs w:val="22"/>
        </w:rPr>
        <w:t>.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</w:t>
      </w:r>
      <w:r w:rsidRPr="0079115F">
        <w:rPr>
          <w:rFonts w:cstheme="minorHAnsi"/>
          <w:color w:val="000000" w:themeColor="text1"/>
          <w:sz w:val="22"/>
          <w:szCs w:val="22"/>
        </w:rPr>
        <w:t>Jak vyplývá z klinického výzkumu, přítomnost hypertenze ve středním věku zvyšuje riziko vzniku demence o 61 %.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</w:t>
      </w:r>
    </w:p>
    <w:p w14:paraId="4EFE7981" w14:textId="77777777" w:rsidR="0079115F" w:rsidRPr="0079115F" w:rsidRDefault="0079115F" w:rsidP="00A70542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2B6D971B" w14:textId="4B4889DF" w:rsidR="00A70542" w:rsidRPr="0079115F" w:rsidRDefault="0079115F" w:rsidP="00A70542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9115F">
        <w:rPr>
          <w:rFonts w:cstheme="minorHAnsi"/>
          <w:color w:val="000000" w:themeColor="text1"/>
          <w:sz w:val="22"/>
          <w:szCs w:val="22"/>
        </w:rPr>
        <w:t>„</w:t>
      </w:r>
      <w:r w:rsidR="00696AEC" w:rsidRPr="0079115F">
        <w:rPr>
          <w:rFonts w:cstheme="minorHAnsi"/>
          <w:color w:val="000000" w:themeColor="text1"/>
          <w:sz w:val="22"/>
          <w:szCs w:val="22"/>
        </w:rPr>
        <w:t>Neléčená mírná až střední hypertenze ve věku 50–60 let zvyšuje riziko lézí bílé hmoty</w:t>
      </w:r>
      <w:r w:rsidR="00A70542" w:rsidRPr="0079115F">
        <w:rPr>
          <w:rFonts w:cstheme="minorHAnsi"/>
          <w:color w:val="000000" w:themeColor="text1"/>
          <w:sz w:val="22"/>
          <w:szCs w:val="22"/>
        </w:rPr>
        <w:t xml:space="preserve"> (abnormality na mozku)</w:t>
      </w:r>
      <w:r w:rsidR="00696AEC" w:rsidRPr="0079115F">
        <w:rPr>
          <w:rFonts w:cstheme="minorHAnsi"/>
          <w:color w:val="000000" w:themeColor="text1"/>
          <w:sz w:val="22"/>
          <w:szCs w:val="22"/>
        </w:rPr>
        <w:t xml:space="preserve"> spojených s demencí. Již krevní tlak 120/80 mm </w:t>
      </w:r>
      <w:proofErr w:type="spellStart"/>
      <w:r w:rsidR="00696AEC" w:rsidRPr="0079115F">
        <w:rPr>
          <w:rFonts w:cstheme="minorHAnsi"/>
          <w:color w:val="000000" w:themeColor="text1"/>
          <w:sz w:val="22"/>
          <w:szCs w:val="22"/>
        </w:rPr>
        <w:t>Hg</w:t>
      </w:r>
      <w:proofErr w:type="spellEnd"/>
      <w:r w:rsidR="00696AEC" w:rsidRPr="0079115F">
        <w:rPr>
          <w:rFonts w:cstheme="minorHAnsi"/>
          <w:color w:val="000000" w:themeColor="text1"/>
          <w:sz w:val="22"/>
          <w:szCs w:val="22"/>
        </w:rPr>
        <w:t xml:space="preserve"> ve věku 19–40 let je spojen s redukcí šedé hmoty mozkové.</w:t>
      </w:r>
      <w:r w:rsidR="005A46C7" w:rsidRPr="0079115F">
        <w:rPr>
          <w:rFonts w:cstheme="minorHAnsi"/>
          <w:color w:val="000000" w:themeColor="text1"/>
          <w:sz w:val="22"/>
          <w:szCs w:val="22"/>
        </w:rPr>
        <w:t xml:space="preserve"> </w:t>
      </w:r>
      <w:r w:rsidR="00696AEC" w:rsidRPr="0079115F">
        <w:rPr>
          <w:rFonts w:cstheme="minorHAnsi"/>
          <w:color w:val="000000" w:themeColor="text1"/>
          <w:sz w:val="22"/>
          <w:szCs w:val="22"/>
        </w:rPr>
        <w:t xml:space="preserve">To vše naznačuje, že cestou, jak omezit rozsah 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nástupu</w:t>
      </w:r>
      <w:r w:rsidR="00696AEC" w:rsidRPr="0079115F">
        <w:rPr>
          <w:rFonts w:cstheme="minorHAnsi"/>
          <w:color w:val="000000" w:themeColor="text1"/>
          <w:sz w:val="22"/>
          <w:szCs w:val="22"/>
        </w:rPr>
        <w:t xml:space="preserve"> demence, je včasná a důsledná 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léčba</w:t>
      </w:r>
      <w:r w:rsidR="00696AEC" w:rsidRPr="0079115F">
        <w:rPr>
          <w:rFonts w:cstheme="minorHAnsi"/>
          <w:color w:val="000000" w:themeColor="text1"/>
          <w:sz w:val="22"/>
          <w:szCs w:val="22"/>
        </w:rPr>
        <w:t xml:space="preserve"> hypertenze již od mládí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,“ říká prof. MUDr. Miroslav Souček, garant projektu Srdce v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 </w:t>
      </w:r>
      <w:r w:rsidR="005A46C7" w:rsidRPr="0079115F">
        <w:rPr>
          <w:rFonts w:cstheme="minorHAnsi"/>
          <w:color w:val="000000" w:themeColor="text1"/>
          <w:sz w:val="22"/>
          <w:szCs w:val="22"/>
        </w:rPr>
        <w:t>hlavě</w:t>
      </w:r>
      <w:r w:rsidR="00A70542" w:rsidRPr="0079115F">
        <w:rPr>
          <w:rFonts w:cstheme="minorHAnsi"/>
          <w:color w:val="000000" w:themeColor="text1"/>
          <w:sz w:val="22"/>
          <w:szCs w:val="22"/>
        </w:rPr>
        <w:t xml:space="preserve"> a dodává: „V současné době stojíme v ČR na prahu pandemie demence, kterou dosud nedokážeme léčit. Změny v mozku související s demencí navozen</w:t>
      </w:r>
      <w:r w:rsidR="00FD0C8E">
        <w:rPr>
          <w:rFonts w:cstheme="minorHAnsi"/>
          <w:color w:val="000000" w:themeColor="text1"/>
          <w:sz w:val="22"/>
          <w:szCs w:val="22"/>
        </w:rPr>
        <w:t>ou</w:t>
      </w:r>
      <w:r w:rsidR="00A70542" w:rsidRPr="0079115F">
        <w:rPr>
          <w:rFonts w:cstheme="minorHAnsi"/>
          <w:color w:val="000000" w:themeColor="text1"/>
          <w:sz w:val="22"/>
          <w:szCs w:val="22"/>
        </w:rPr>
        <w:t xml:space="preserve"> hypertenzí jsou nevratné. Jejich rozvoj začíná se vznikem hypertenze již od mládí a kumuluje se v čase. Pro mozek je věk vzniku hypertenze zásadní: hypertenze, která se rozvine již v mládí, je spojena s horší prognózou než hypertenze se začátkem v pozdním věku. Včasné zachycení a zahájení antihypertenzní léčby v mládí a důsledná dlouhodobá ko</w:t>
      </w:r>
      <w:r w:rsidR="001C400F" w:rsidRPr="0079115F">
        <w:rPr>
          <w:rFonts w:cstheme="minorHAnsi"/>
          <w:color w:val="000000" w:themeColor="text1"/>
          <w:sz w:val="22"/>
          <w:szCs w:val="22"/>
        </w:rPr>
        <w:t xml:space="preserve">ntrola 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hypertenze může rozvoj poklesu kognitivních funkcí a demence zvrátit. S léčbou je třeba začít již u mladých nízkorizikových pacientů.</w:t>
      </w:r>
    </w:p>
    <w:p w14:paraId="6A8C5EF0" w14:textId="77777777" w:rsidR="008C6486" w:rsidRPr="0079115F" w:rsidRDefault="008C6486" w:rsidP="00A70542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2BE37A3C" w14:textId="38DE13D1" w:rsidR="008C6486" w:rsidRPr="0079115F" w:rsidRDefault="00FD0C8E" w:rsidP="00A70542">
      <w:pPr>
        <w:jc w:val="both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D</w:t>
      </w:r>
      <w:r w:rsidR="008C6486" w:rsidRPr="0079115F">
        <w:rPr>
          <w:rFonts w:cstheme="minorHAnsi"/>
          <w:color w:val="000000" w:themeColor="text1"/>
          <w:sz w:val="22"/>
          <w:szCs w:val="22"/>
        </w:rPr>
        <w:t>emence je multifaktoriální onemocnění a vysoký krevní tlak je pouze jedním z mnoha faktorů, které mohou přispět k jejímu vývoji. Existuje mnoho dalších rizikových faktorů, jako je genetika, obezita, diabetická onemocnění, kouření, fyzická nečinnost a vysoké hladiny cholesterolu, které mohou také hrát roli v rozvoji demence.</w:t>
      </w:r>
    </w:p>
    <w:p w14:paraId="264AA946" w14:textId="77777777" w:rsidR="00A70542" w:rsidRPr="0079115F" w:rsidRDefault="00A70542" w:rsidP="00A70542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15322BEB" w14:textId="4D887273" w:rsidR="00696AEC" w:rsidRPr="002B6A89" w:rsidRDefault="00696AEC" w:rsidP="00696AEC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9115F">
        <w:rPr>
          <w:rFonts w:cstheme="minorHAnsi"/>
          <w:b/>
          <w:bCs/>
          <w:color w:val="000000" w:themeColor="text1"/>
          <w:sz w:val="22"/>
          <w:szCs w:val="22"/>
        </w:rPr>
        <w:t>Mozek jako cílový orgán hypertenze</w:t>
      </w:r>
    </w:p>
    <w:p w14:paraId="39D3DA71" w14:textId="1A09609B" w:rsidR="00C345F8" w:rsidRPr="0079115F" w:rsidRDefault="4ED7DDB2" w:rsidP="4BDDF69D">
      <w:pPr>
        <w:jc w:val="both"/>
        <w:rPr>
          <w:color w:val="000000" w:themeColor="text1"/>
          <w:sz w:val="22"/>
          <w:szCs w:val="22"/>
        </w:rPr>
      </w:pPr>
      <w:r w:rsidRPr="4ED7DDB2">
        <w:rPr>
          <w:color w:val="000000" w:themeColor="text1"/>
          <w:sz w:val="22"/>
          <w:szCs w:val="22"/>
        </w:rPr>
        <w:t xml:space="preserve">Mezi cílové orgány hypertenze patří cévy, srdce, ledviny, mozek a oči. Ve studii se 142 pacienty s hypertenzí ve věku nad 65 let bylo zjištěno poškození srdce u 21 %, poškození ledvin u 26 % a poškození mozku u 44 % zúčastněných. Poškození mozku je diagnostikováno pomocí magnetické rezonance, kde je vidět zmnožení bílé hmoty, drobné infarkty a drobná krvácení. Bez magnetické rezonance pacienti o </w:t>
      </w:r>
      <w:r w:rsidRPr="4ED7DDB2">
        <w:rPr>
          <w:color w:val="000000" w:themeColor="text1"/>
          <w:sz w:val="22"/>
          <w:szCs w:val="22"/>
        </w:rPr>
        <w:lastRenderedPageBreak/>
        <w:t xml:space="preserve">těchto změnách nemusí vůbec vědět. Pro dosažení rychlé a účinné kontroly hypertenze je obvykle potřeba změna životního stylu a farmakologická léčba, především kombinační. </w:t>
      </w:r>
    </w:p>
    <w:p w14:paraId="4C37CA92" w14:textId="77777777" w:rsidR="0079115F" w:rsidRDefault="0079115F" w:rsidP="00F1753E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73D12715" w14:textId="5D66CF9E" w:rsidR="0069631D" w:rsidRPr="0079115F" w:rsidRDefault="00FD7122" w:rsidP="00F1753E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9115F">
        <w:rPr>
          <w:rFonts w:cstheme="minorHAnsi"/>
          <w:color w:val="000000" w:themeColor="text1"/>
          <w:sz w:val="22"/>
          <w:szCs w:val="22"/>
        </w:rPr>
        <w:t xml:space="preserve">Negativní vliv 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vysokého krevního tlaku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na cílové orgány se 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časem zvyšuje.</w:t>
      </w:r>
      <w:r w:rsidRPr="0079115F">
        <w:rPr>
          <w:rFonts w:cstheme="minorHAnsi"/>
          <w:color w:val="000000" w:themeColor="text1"/>
          <w:sz w:val="22"/>
          <w:szCs w:val="22"/>
        </w:rPr>
        <w:t xml:space="preserve"> Pokud jsou tedy cévy vystaveny vysokému krevnímu tlaku dlouhodobě, je riziko poškození cílových orgánů 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v</w:t>
      </w:r>
      <w:r w:rsidR="008C6486" w:rsidRPr="0079115F">
        <w:rPr>
          <w:rFonts w:cstheme="minorHAnsi"/>
          <w:color w:val="000000" w:themeColor="text1"/>
          <w:sz w:val="22"/>
          <w:szCs w:val="22"/>
        </w:rPr>
        <w:t>ý</w:t>
      </w:r>
      <w:r w:rsidR="00A70542" w:rsidRPr="0079115F">
        <w:rPr>
          <w:rFonts w:cstheme="minorHAnsi"/>
          <w:color w:val="000000" w:themeColor="text1"/>
          <w:sz w:val="22"/>
          <w:szCs w:val="22"/>
        </w:rPr>
        <w:t>raznější</w:t>
      </w:r>
      <w:r w:rsidRPr="0079115F">
        <w:rPr>
          <w:rFonts w:cstheme="minorHAnsi"/>
          <w:color w:val="000000" w:themeColor="text1"/>
          <w:sz w:val="22"/>
          <w:szCs w:val="22"/>
        </w:rPr>
        <w:t>. Z tohoto pohledu je riziková zejména hypertenze u osob mladšího a středního věku s</w:t>
      </w:r>
      <w:r w:rsidR="0069631D" w:rsidRPr="0079115F">
        <w:rPr>
          <w:rFonts w:cstheme="minorHAnsi"/>
          <w:color w:val="000000" w:themeColor="text1"/>
          <w:sz w:val="22"/>
          <w:szCs w:val="22"/>
        </w:rPr>
        <w:t> </w:t>
      </w:r>
      <w:r w:rsidRPr="0079115F">
        <w:rPr>
          <w:rFonts w:cstheme="minorHAnsi"/>
          <w:color w:val="000000" w:themeColor="text1"/>
          <w:sz w:val="22"/>
          <w:szCs w:val="22"/>
        </w:rPr>
        <w:t>předpokládanou</w:t>
      </w:r>
      <w:r w:rsidR="0069631D" w:rsidRPr="0079115F">
        <w:rPr>
          <w:rFonts w:cstheme="minorHAnsi"/>
          <w:color w:val="000000" w:themeColor="text1"/>
          <w:sz w:val="22"/>
          <w:szCs w:val="22"/>
        </w:rPr>
        <w:t xml:space="preserve"> větší </w:t>
      </w:r>
      <w:r w:rsidR="00CE1E18" w:rsidRPr="0079115F">
        <w:rPr>
          <w:rFonts w:cstheme="minorHAnsi"/>
          <w:color w:val="000000" w:themeColor="text1"/>
          <w:sz w:val="22"/>
          <w:szCs w:val="22"/>
        </w:rPr>
        <w:t xml:space="preserve">zbývající </w:t>
      </w:r>
      <w:r w:rsidR="0069631D" w:rsidRPr="0079115F">
        <w:rPr>
          <w:rFonts w:cstheme="minorHAnsi"/>
          <w:color w:val="000000" w:themeColor="text1"/>
          <w:sz w:val="22"/>
          <w:szCs w:val="22"/>
        </w:rPr>
        <w:t xml:space="preserve">délkou života, a tedy i dlouhodobější expozicí cévní stěny vysokému krevnímu tlaku. Hypertenzi v mládí proto nelze považovat za </w:t>
      </w:r>
      <w:r w:rsidR="00A70542" w:rsidRPr="0079115F">
        <w:rPr>
          <w:rFonts w:cstheme="minorHAnsi"/>
          <w:color w:val="000000" w:themeColor="text1"/>
          <w:sz w:val="22"/>
          <w:szCs w:val="22"/>
        </w:rPr>
        <w:t xml:space="preserve">neškodné </w:t>
      </w:r>
      <w:r w:rsidR="0069631D" w:rsidRPr="0079115F">
        <w:rPr>
          <w:rFonts w:cstheme="minorHAnsi"/>
          <w:color w:val="000000" w:themeColor="text1"/>
          <w:sz w:val="22"/>
          <w:szCs w:val="22"/>
        </w:rPr>
        <w:t>onemocnění a její léčbu odkládat.</w:t>
      </w:r>
    </w:p>
    <w:p w14:paraId="34952E4F" w14:textId="77777777" w:rsidR="0069631D" w:rsidRPr="0079115F" w:rsidRDefault="0069631D" w:rsidP="00F1753E">
      <w:pPr>
        <w:jc w:val="both"/>
        <w:rPr>
          <w:rFonts w:cstheme="minorHAnsi"/>
          <w:color w:val="000000" w:themeColor="text1"/>
          <w:sz w:val="22"/>
          <w:szCs w:val="22"/>
        </w:rPr>
      </w:pPr>
    </w:p>
    <w:p w14:paraId="23E5540F" w14:textId="072386BF" w:rsidR="009A2DD1" w:rsidRPr="0079115F" w:rsidRDefault="0079115F" w:rsidP="00F1753E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9115F">
        <w:rPr>
          <w:rFonts w:cstheme="minorHAnsi"/>
          <w:color w:val="000000" w:themeColor="text1"/>
          <w:sz w:val="22"/>
          <w:szCs w:val="22"/>
        </w:rPr>
        <w:t xml:space="preserve"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    </w:t>
      </w:r>
    </w:p>
    <w:sectPr w:rsidR="009A2DD1" w:rsidRPr="0079115F" w:rsidSect="00D666D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77A50"/>
    <w:multiLevelType w:val="hybridMultilevel"/>
    <w:tmpl w:val="46C2E82A"/>
    <w:lvl w:ilvl="0" w:tplc="3EDAB9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D8B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F64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F63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9A5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961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09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665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785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A11463"/>
    <w:multiLevelType w:val="hybridMultilevel"/>
    <w:tmpl w:val="C46CDCC8"/>
    <w:lvl w:ilvl="0" w:tplc="D6368AE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238E4"/>
    <w:multiLevelType w:val="hybridMultilevel"/>
    <w:tmpl w:val="8B2CA8BA"/>
    <w:lvl w:ilvl="0" w:tplc="787E07B2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E2BE34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B075AE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504DDA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966C4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F4198A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6E3272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945D62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449FEE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95D96"/>
    <w:multiLevelType w:val="hybridMultilevel"/>
    <w:tmpl w:val="48E016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82569"/>
    <w:multiLevelType w:val="hybridMultilevel"/>
    <w:tmpl w:val="D4602654"/>
    <w:lvl w:ilvl="0" w:tplc="CD62B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49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683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0ED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8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EB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5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5A9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C05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0AA037E"/>
    <w:multiLevelType w:val="hybridMultilevel"/>
    <w:tmpl w:val="5EA8ECDE"/>
    <w:lvl w:ilvl="0" w:tplc="A116753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ECF67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D480D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8019E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121EC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38862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9CB2E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70586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4CE97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11E38"/>
    <w:multiLevelType w:val="hybridMultilevel"/>
    <w:tmpl w:val="0536327C"/>
    <w:lvl w:ilvl="0" w:tplc="0C2EA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03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942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4BA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90F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B2D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C24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E67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0E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CE956F6"/>
    <w:multiLevelType w:val="hybridMultilevel"/>
    <w:tmpl w:val="DB40E8E0"/>
    <w:lvl w:ilvl="0" w:tplc="7F788D90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C87DFE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B89236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2942C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2AF35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07C42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C5FC6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884250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66C1BA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614F2"/>
    <w:multiLevelType w:val="hybridMultilevel"/>
    <w:tmpl w:val="7C90FC68"/>
    <w:lvl w:ilvl="0" w:tplc="E78EDB08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2DEFC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909762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62898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38AFF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3EF648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D0E3CC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3AA86E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3A1ACC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D229E"/>
    <w:multiLevelType w:val="hybridMultilevel"/>
    <w:tmpl w:val="624A2BCA"/>
    <w:lvl w:ilvl="0" w:tplc="5D46C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362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C4AD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A7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8A3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2A0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46D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BE7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EE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11380983">
    <w:abstractNumId w:val="1"/>
  </w:num>
  <w:num w:numId="2" w16cid:durableId="1783526729">
    <w:abstractNumId w:val="4"/>
  </w:num>
  <w:num w:numId="3" w16cid:durableId="1951009120">
    <w:abstractNumId w:val="6"/>
  </w:num>
  <w:num w:numId="4" w16cid:durableId="499200012">
    <w:abstractNumId w:val="0"/>
  </w:num>
  <w:num w:numId="5" w16cid:durableId="190845326">
    <w:abstractNumId w:val="7"/>
  </w:num>
  <w:num w:numId="6" w16cid:durableId="2098209405">
    <w:abstractNumId w:val="2"/>
  </w:num>
  <w:num w:numId="7" w16cid:durableId="1028413758">
    <w:abstractNumId w:val="8"/>
  </w:num>
  <w:num w:numId="8" w16cid:durableId="1886484817">
    <w:abstractNumId w:val="5"/>
  </w:num>
  <w:num w:numId="9" w16cid:durableId="1031027477">
    <w:abstractNumId w:val="9"/>
  </w:num>
  <w:num w:numId="10" w16cid:durableId="995661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12"/>
    <w:rsid w:val="00037911"/>
    <w:rsid w:val="00066026"/>
    <w:rsid w:val="000A1CC8"/>
    <w:rsid w:val="000B5293"/>
    <w:rsid w:val="000D3416"/>
    <w:rsid w:val="00100718"/>
    <w:rsid w:val="0010220E"/>
    <w:rsid w:val="001910EE"/>
    <w:rsid w:val="0019422E"/>
    <w:rsid w:val="001B3B32"/>
    <w:rsid w:val="001C400F"/>
    <w:rsid w:val="001D562C"/>
    <w:rsid w:val="002559A9"/>
    <w:rsid w:val="00265634"/>
    <w:rsid w:val="002A6432"/>
    <w:rsid w:val="002B6A89"/>
    <w:rsid w:val="002E1AF8"/>
    <w:rsid w:val="00302837"/>
    <w:rsid w:val="00312A0A"/>
    <w:rsid w:val="00333664"/>
    <w:rsid w:val="00391078"/>
    <w:rsid w:val="00391D95"/>
    <w:rsid w:val="00394B77"/>
    <w:rsid w:val="003B2E3C"/>
    <w:rsid w:val="003F1E9E"/>
    <w:rsid w:val="003F2D18"/>
    <w:rsid w:val="003F5299"/>
    <w:rsid w:val="0040454F"/>
    <w:rsid w:val="00451FDD"/>
    <w:rsid w:val="00463397"/>
    <w:rsid w:val="00484290"/>
    <w:rsid w:val="00492273"/>
    <w:rsid w:val="004979C8"/>
    <w:rsid w:val="004C4FBF"/>
    <w:rsid w:val="00536699"/>
    <w:rsid w:val="005A46C7"/>
    <w:rsid w:val="005E6C9A"/>
    <w:rsid w:val="00613930"/>
    <w:rsid w:val="00622D9E"/>
    <w:rsid w:val="00647FEA"/>
    <w:rsid w:val="00681873"/>
    <w:rsid w:val="0069631D"/>
    <w:rsid w:val="00696AEC"/>
    <w:rsid w:val="006E001C"/>
    <w:rsid w:val="006F130C"/>
    <w:rsid w:val="006F4C6B"/>
    <w:rsid w:val="0079115F"/>
    <w:rsid w:val="007B17DC"/>
    <w:rsid w:val="007B3DDE"/>
    <w:rsid w:val="00805A84"/>
    <w:rsid w:val="00831E8B"/>
    <w:rsid w:val="00841763"/>
    <w:rsid w:val="008C6486"/>
    <w:rsid w:val="008D3B8F"/>
    <w:rsid w:val="008F02C1"/>
    <w:rsid w:val="0090220D"/>
    <w:rsid w:val="00926440"/>
    <w:rsid w:val="00927330"/>
    <w:rsid w:val="009345F2"/>
    <w:rsid w:val="00936F65"/>
    <w:rsid w:val="0094282E"/>
    <w:rsid w:val="00950AB3"/>
    <w:rsid w:val="009A2DD1"/>
    <w:rsid w:val="009C40C8"/>
    <w:rsid w:val="009F1652"/>
    <w:rsid w:val="009F4FA8"/>
    <w:rsid w:val="00A454A8"/>
    <w:rsid w:val="00A46076"/>
    <w:rsid w:val="00A70542"/>
    <w:rsid w:val="00AA0FC2"/>
    <w:rsid w:val="00AA7788"/>
    <w:rsid w:val="00AC51B1"/>
    <w:rsid w:val="00AE2CCD"/>
    <w:rsid w:val="00B50D37"/>
    <w:rsid w:val="00B51412"/>
    <w:rsid w:val="00B5261F"/>
    <w:rsid w:val="00BF4048"/>
    <w:rsid w:val="00BF56C2"/>
    <w:rsid w:val="00C10A31"/>
    <w:rsid w:val="00C139C8"/>
    <w:rsid w:val="00C345F8"/>
    <w:rsid w:val="00C5363F"/>
    <w:rsid w:val="00C86159"/>
    <w:rsid w:val="00CE1E18"/>
    <w:rsid w:val="00CE5EDD"/>
    <w:rsid w:val="00CE5F10"/>
    <w:rsid w:val="00D125BF"/>
    <w:rsid w:val="00D22543"/>
    <w:rsid w:val="00D35C1F"/>
    <w:rsid w:val="00D4224B"/>
    <w:rsid w:val="00D45626"/>
    <w:rsid w:val="00D666D8"/>
    <w:rsid w:val="00DA444E"/>
    <w:rsid w:val="00DB13E5"/>
    <w:rsid w:val="00DC2CA5"/>
    <w:rsid w:val="00E57C8E"/>
    <w:rsid w:val="00EA6E0E"/>
    <w:rsid w:val="00EB16FD"/>
    <w:rsid w:val="00EC0D5F"/>
    <w:rsid w:val="00F1001F"/>
    <w:rsid w:val="00F1753E"/>
    <w:rsid w:val="00F522E4"/>
    <w:rsid w:val="00F84612"/>
    <w:rsid w:val="00FA5D55"/>
    <w:rsid w:val="00FD0C8E"/>
    <w:rsid w:val="00FD7122"/>
    <w:rsid w:val="4BDDF69D"/>
    <w:rsid w:val="4ED7D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5F08"/>
  <w15:chartTrackingRefBased/>
  <w15:docId w15:val="{6BBCFC93-D737-4142-9816-929CE0E29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22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461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8461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8461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84612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61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9345F2"/>
  </w:style>
  <w:style w:type="paragraph" w:styleId="Revize">
    <w:name w:val="Revision"/>
    <w:hidden/>
    <w:uiPriority w:val="99"/>
    <w:semiHidden/>
    <w:rsid w:val="00037911"/>
  </w:style>
  <w:style w:type="character" w:styleId="Odkaznakoment">
    <w:name w:val="annotation reference"/>
    <w:basedOn w:val="Standardnpsmoodstavce"/>
    <w:uiPriority w:val="99"/>
    <w:semiHidden/>
    <w:unhideWhenUsed/>
    <w:rsid w:val="0003791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3791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3791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791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79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6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4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0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20767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948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342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6846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3678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930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7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3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5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32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036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7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8503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8578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087">
          <w:marLeft w:val="74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364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cf6c7688-a18b-4ded-9a7c-160e0db6f45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DCE95E-BAC8-40B1-9EAA-2E6CD900B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7C5082-FF43-4F08-A4E5-0263292BAA2A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cf6c7688-a18b-4ded-9a7c-160e0db6f458"/>
  </ds:schemaRefs>
</ds:datastoreItem>
</file>

<file path=customXml/itemProps3.xml><?xml version="1.0" encoding="utf-8"?>
<ds:datastoreItem xmlns:ds="http://schemas.openxmlformats.org/officeDocument/2006/customXml" ds:itemID="{7E2AF37D-0094-49A5-B7B7-B4035A76A2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2023-06-30T14:47:00Z</cp:lastPrinted>
  <dcterms:created xsi:type="dcterms:W3CDTF">2023-07-24T20:37:00Z</dcterms:created>
  <dcterms:modified xsi:type="dcterms:W3CDTF">2023-07-24T20:37:00Z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  <property fmtid="{D5CDD505-2E9C-101B-9397-08002B2CF9AE}" pid="3" name="MediaServiceImageTags">
    <vt:lpwstr/>
  </property>
</Properties>
</file>