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690E5" w14:textId="77777777" w:rsidR="006D3F46" w:rsidRDefault="006D3F46">
      <w:pPr>
        <w:rPr>
          <w:b/>
          <w:sz w:val="32"/>
          <w:szCs w:val="32"/>
        </w:rPr>
      </w:pPr>
    </w:p>
    <w:p w14:paraId="11025E0D" w14:textId="2D596105" w:rsidR="00B7189D" w:rsidRPr="009B6096" w:rsidRDefault="007F0FFD" w:rsidP="009B6096">
      <w:pPr>
        <w:pStyle w:val="Nadpis2"/>
        <w:keepNext w:val="0"/>
        <w:keepLines w:val="0"/>
        <w:pBdr>
          <w:right w:val="none" w:sz="0" w:space="18" w:color="auto"/>
        </w:pBdr>
        <w:spacing w:before="0" w:after="100"/>
        <w:jc w:val="center"/>
        <w:rPr>
          <w:b/>
          <w:sz w:val="28"/>
          <w:szCs w:val="28"/>
        </w:rPr>
      </w:pPr>
      <w:r>
        <w:rPr>
          <w:b/>
          <w:sz w:val="28"/>
          <w:szCs w:val="28"/>
        </w:rPr>
        <w:t>5</w:t>
      </w:r>
      <w:r w:rsidR="00B7189D">
        <w:rPr>
          <w:b/>
          <w:sz w:val="28"/>
          <w:szCs w:val="28"/>
        </w:rPr>
        <w:t xml:space="preserve"> otáz</w:t>
      </w:r>
      <w:r>
        <w:rPr>
          <w:b/>
          <w:sz w:val="28"/>
          <w:szCs w:val="28"/>
        </w:rPr>
        <w:t>ek</w:t>
      </w:r>
      <w:r w:rsidR="00B7189D">
        <w:rPr>
          <w:b/>
          <w:sz w:val="28"/>
          <w:szCs w:val="28"/>
        </w:rPr>
        <w:t xml:space="preserve"> a odpověd</w:t>
      </w:r>
      <w:r>
        <w:rPr>
          <w:b/>
          <w:sz w:val="28"/>
          <w:szCs w:val="28"/>
        </w:rPr>
        <w:t>í</w:t>
      </w:r>
      <w:r w:rsidR="00B7189D">
        <w:rPr>
          <w:b/>
          <w:sz w:val="28"/>
          <w:szCs w:val="28"/>
        </w:rPr>
        <w:t xml:space="preserve"> k tématu energie. </w:t>
      </w:r>
      <w:r w:rsidR="00B7189D">
        <w:rPr>
          <w:b/>
          <w:sz w:val="28"/>
          <w:szCs w:val="28"/>
        </w:rPr>
        <w:br/>
        <w:t>Na co si dát pozor a jak na energiích ušetřit?</w:t>
      </w:r>
    </w:p>
    <w:p w14:paraId="5ABC63CA" w14:textId="77777777" w:rsidR="00B7189D" w:rsidRDefault="00B7189D" w:rsidP="00CB08AE">
      <w:pPr>
        <w:spacing w:line="240" w:lineRule="auto"/>
        <w:jc w:val="both"/>
        <w:rPr>
          <w:b/>
        </w:rPr>
      </w:pPr>
    </w:p>
    <w:p w14:paraId="59BB9C21" w14:textId="47EE1B5B" w:rsidR="00B7189D" w:rsidRDefault="007F0FFD" w:rsidP="00CB08AE">
      <w:pPr>
        <w:spacing w:line="240" w:lineRule="auto"/>
        <w:jc w:val="both"/>
        <w:rPr>
          <w:b/>
        </w:rPr>
      </w:pPr>
      <w:r>
        <w:rPr>
          <w:b/>
        </w:rPr>
        <w:t>Praha, 30.</w:t>
      </w:r>
      <w:r w:rsidR="009B6096">
        <w:rPr>
          <w:b/>
        </w:rPr>
        <w:t xml:space="preserve"> října</w:t>
      </w:r>
      <w:r>
        <w:rPr>
          <w:b/>
        </w:rPr>
        <w:t xml:space="preserve"> 2023 - </w:t>
      </w:r>
      <w:r w:rsidR="00B7189D" w:rsidRPr="00B7189D">
        <w:rPr>
          <w:b/>
        </w:rPr>
        <w:t xml:space="preserve">Každý by měl znát obchodní cenu, za kterou aktuálně odebírá od svého dodavatele elektřinu nebo plyn. Realita však bývá taková, že lidé si tyto údaje nepamatují. Co je však nutné mít pod ještě větší kontrolou, je termín platnosti smlouvy. </w:t>
      </w:r>
      <w:r w:rsidR="00B7189D">
        <w:rPr>
          <w:b/>
        </w:rPr>
        <w:t>Co dále nepodcenit a jak ušetřit domácí peněžence prozradí</w:t>
      </w:r>
      <w:r>
        <w:rPr>
          <w:b/>
        </w:rPr>
        <w:t xml:space="preserve"> a poradí</w:t>
      </w:r>
      <w:r w:rsidR="00B7189D">
        <w:rPr>
          <w:b/>
        </w:rPr>
        <w:t xml:space="preserve"> Lukáš Kaňok z Kalkulátor.cz</w:t>
      </w:r>
      <w:r>
        <w:rPr>
          <w:b/>
        </w:rPr>
        <w:t>.</w:t>
      </w:r>
    </w:p>
    <w:p w14:paraId="79C4DB82" w14:textId="2022BBD9" w:rsidR="00B7189D" w:rsidRDefault="00B7189D" w:rsidP="00CB08AE">
      <w:pPr>
        <w:spacing w:line="240" w:lineRule="auto"/>
        <w:jc w:val="both"/>
        <w:rPr>
          <w:b/>
        </w:rPr>
      </w:pPr>
    </w:p>
    <w:p w14:paraId="4D6D18EB" w14:textId="0286D733" w:rsidR="00B7189D" w:rsidRDefault="007F0FFD" w:rsidP="00CB08AE">
      <w:pPr>
        <w:spacing w:line="240" w:lineRule="auto"/>
        <w:jc w:val="both"/>
        <w:rPr>
          <w:b/>
        </w:rPr>
      </w:pPr>
      <w:r>
        <w:rPr>
          <w:b/>
        </w:rPr>
        <w:t>Kde zjistím, kolik budu letos platit zálohy na energie?</w:t>
      </w:r>
    </w:p>
    <w:p w14:paraId="10673C12" w14:textId="77777777" w:rsidR="00B7189D" w:rsidRDefault="00B7189D" w:rsidP="00B7189D">
      <w:pPr>
        <w:jc w:val="both"/>
      </w:pPr>
      <w:r w:rsidRPr="009B53BE">
        <w:t>Kdo nezná podmínky své smlouvy, měl by si je co nejdříve pročíst a zkontrolovat. Každý dodavatel uvádí tuto informaci v dokumentaci, kterou zákazník podepisuje. Někteří dodavatelé ji uvádějí ve smlouvě, jiní ve všeobecných obchodních podmínkách. Proč je tato informace důležitá a měl by ji každý zákazník znát? Protože to je hlavní důvod, proč vám dodavatel nemusí dávat vědět, že se bude něco měnit a v průběhu roku může přijít nový rozpis záloh, kde vám dodavatel výrazně zvýší zálohu. Bohužel zpětně už se proti tomu nedá dělat nic a pamatujte, že prolongaci lze vypovědět 20 dnů před datem zahájení platnosti obnovené smlouvy</w:t>
      </w:r>
      <w:r>
        <w:t>.</w:t>
      </w:r>
    </w:p>
    <w:p w14:paraId="13AA8970" w14:textId="77777777" w:rsidR="00B7189D" w:rsidRDefault="00B7189D" w:rsidP="00CB08AE">
      <w:pPr>
        <w:spacing w:line="240" w:lineRule="auto"/>
        <w:jc w:val="both"/>
        <w:rPr>
          <w:b/>
        </w:rPr>
      </w:pPr>
    </w:p>
    <w:p w14:paraId="23C55796" w14:textId="5F5F15E1" w:rsidR="007F0FFD" w:rsidRPr="007C1F24" w:rsidRDefault="007F0FFD" w:rsidP="007F0FFD">
      <w:pPr>
        <w:jc w:val="both"/>
        <w:rPr>
          <w:b/>
          <w:bCs/>
        </w:rPr>
      </w:pPr>
      <w:r w:rsidRPr="007C1F24">
        <w:rPr>
          <w:b/>
          <w:bCs/>
        </w:rPr>
        <w:t>Vyplatí se udělat srovnání dodavatelů před koncem platnosti smlouvy</w:t>
      </w:r>
      <w:r>
        <w:rPr>
          <w:b/>
          <w:bCs/>
        </w:rPr>
        <w:t>?</w:t>
      </w:r>
    </w:p>
    <w:p w14:paraId="64BDE9A2" w14:textId="28304FAB" w:rsidR="007F0FFD" w:rsidRDefault="007F0FFD" w:rsidP="007F0FFD">
      <w:pPr>
        <w:jc w:val="both"/>
      </w:pPr>
      <w:r>
        <w:t xml:space="preserve">Určitě každý z nás někdy zažil telefonický hovor s operátorem, který prezentoval speciální nabídku pouze pro něj. Cílem je zákazníka přesvědčit, že dostává něco lepšího nebo jedinečného, co nikde jinde na trhu nenajde. Nenechte se však zmýlit, i tuto nabídku je třeba zvážit a porovnat s konkurenčními. A právě praxi retenčních nabídek vidíme stále častěji i u dodavatelů energií. Proto doporučují udělat si srovnání dodavatelů energií vždy před koncem platnosti smlouvy. </w:t>
      </w:r>
    </w:p>
    <w:p w14:paraId="69513111" w14:textId="77777777" w:rsidR="007F0FFD" w:rsidRDefault="007F0FFD" w:rsidP="007F0FFD">
      <w:pPr>
        <w:jc w:val="both"/>
      </w:pPr>
    </w:p>
    <w:p w14:paraId="6F6134CD" w14:textId="60AC5AAC" w:rsidR="007F0FFD" w:rsidRPr="007F0FFD" w:rsidRDefault="007F0FFD" w:rsidP="007F0FFD">
      <w:pPr>
        <w:jc w:val="both"/>
        <w:rPr>
          <w:b/>
          <w:bCs/>
        </w:rPr>
      </w:pPr>
      <w:r w:rsidRPr="007F0FFD">
        <w:rPr>
          <w:b/>
          <w:bCs/>
        </w:rPr>
        <w:t>Je lepší být v dnešní době aktivní či pasivní?</w:t>
      </w:r>
    </w:p>
    <w:p w14:paraId="252AC7EC" w14:textId="777B4DD7" w:rsidR="007F0FFD" w:rsidRDefault="007F0FFD" w:rsidP="007F0FFD">
      <w:pPr>
        <w:jc w:val="both"/>
      </w:pPr>
      <w:r>
        <w:t xml:space="preserve">Změna dodavatele elektřiny nebo plynu není určitě nic špatného, naopak, domácnost by měla změnu dodavatele řešit vždy ve správný čas před koncem své smlouvy. Pokud jste v tomto ohledu pasivní, jste pro dodavatele optimálním zákazníkem. Dodavatel totiž může v rámci výročí smlouvy cenu upravit. Pak ale nemáte svou cenu energií pod kontrolou, a když přijde upravený rozpis záloh s navýšenou zálohovou platbou (klidně i o stovky procent), na řešení už je pozdě. Vy tak musíte sáhnout hlouběji do peněženky nebo složitě řešit sankce za předčasné vypovězení smlouvy. </w:t>
      </w:r>
    </w:p>
    <w:p w14:paraId="44B6E4C9" w14:textId="77777777" w:rsidR="00B7189D" w:rsidRDefault="00B7189D" w:rsidP="00CB08AE">
      <w:pPr>
        <w:spacing w:line="240" w:lineRule="auto"/>
        <w:jc w:val="both"/>
        <w:rPr>
          <w:b/>
        </w:rPr>
      </w:pPr>
    </w:p>
    <w:p w14:paraId="71AC1866" w14:textId="54857E0B" w:rsidR="00B7189D" w:rsidRDefault="00B7189D" w:rsidP="00CB08AE">
      <w:pPr>
        <w:spacing w:line="240" w:lineRule="auto"/>
        <w:jc w:val="both"/>
        <w:rPr>
          <w:b/>
        </w:rPr>
      </w:pPr>
      <w:r>
        <w:rPr>
          <w:b/>
        </w:rPr>
        <w:t>Jak je možné smlouvu s dodavatelem energií vypovědět?</w:t>
      </w:r>
    </w:p>
    <w:p w14:paraId="795FA080" w14:textId="00CE1E82" w:rsidR="00B7189D" w:rsidRDefault="00B7189D" w:rsidP="00B7189D">
      <w:pPr>
        <w:jc w:val="both"/>
      </w:pPr>
      <w:r w:rsidRPr="00B7189D">
        <w:t>Pro dobu neurčitou platí výpovědní doba 3 měsíce, u doby určité je to aktuálně 20 dnů. Pro případný přechod k novému dodavateli je ide</w:t>
      </w:r>
      <w:r w:rsidR="007F0FFD">
        <w:t>á</w:t>
      </w:r>
      <w:r w:rsidRPr="00B7189D">
        <w:t>lní si před koncem smlouvy srovnat aktuální nabídky a mít tak možnost si dle svých představ vyjednat lepší cenu. A to jak u současného dodavatele, tak při jeho případné změně. V dnešní době kolísání obchodních cen u dodavatelů se nabídky mohou výrazně lišit.</w:t>
      </w:r>
    </w:p>
    <w:p w14:paraId="7AF32F1C" w14:textId="77777777" w:rsidR="006D3F46" w:rsidRDefault="006D3F46"/>
    <w:p w14:paraId="76E0E36B" w14:textId="47C3607C" w:rsidR="009B6096" w:rsidRPr="009B6096" w:rsidRDefault="009B6096">
      <w:pPr>
        <w:rPr>
          <w:b/>
          <w:bCs/>
        </w:rPr>
      </w:pPr>
      <w:r w:rsidRPr="009B6096">
        <w:rPr>
          <w:b/>
          <w:bCs/>
        </w:rPr>
        <w:t>Vyplatí se cenu energií</w:t>
      </w:r>
      <w:r>
        <w:rPr>
          <w:b/>
          <w:bCs/>
        </w:rPr>
        <w:t xml:space="preserve"> nyní</w:t>
      </w:r>
      <w:r w:rsidRPr="009B6096">
        <w:rPr>
          <w:b/>
          <w:bCs/>
        </w:rPr>
        <w:t xml:space="preserve"> fixovat?</w:t>
      </w:r>
    </w:p>
    <w:p w14:paraId="176FFE13" w14:textId="189F3D92" w:rsidR="009B6096" w:rsidRDefault="009B6096">
      <w:r>
        <w:t>Mnoho lidí řeší, zda</w:t>
      </w:r>
      <w:r w:rsidRPr="009B6096">
        <w:t xml:space="preserve"> uzavřít s dodavatelem smlouvu na dobu určitou (nejčastěji na 12, 24 či 36 měsíců), za kterou domácnost získá garantovanou cenu elektřiny nebo plynu</w:t>
      </w:r>
      <w:r>
        <w:t>.</w:t>
      </w:r>
      <w:r w:rsidRPr="009B6096">
        <w:t xml:space="preserve"> </w:t>
      </w:r>
    </w:p>
    <w:p w14:paraId="22FC5D70" w14:textId="012D2BDD" w:rsidR="009B6096" w:rsidRDefault="009B6096">
      <w:r w:rsidRPr="009B6096">
        <w:lastRenderedPageBreak/>
        <w:t>Některé společnosti mají oproti předchozím rokům cenově výhodné nabídky, ale závazek může být nastaven na delší období, kdy se dlouhodobý závazek již nemusí vyplatit. Z tohoto důvodu doporučuji fixovat, ale pouze na 12 měsíců pro vyšší spotřebu, případně na 24 měsíců pro nižší spotřebu. Stále ale platí, že v tuto chvílí jsou mezi jednotlivými nabídkami velké rozdíly, proto je potřeba si cenu hlídat.</w:t>
      </w:r>
    </w:p>
    <w:p w14:paraId="29AECED6" w14:textId="77777777" w:rsidR="009B6096" w:rsidRDefault="009B6096"/>
    <w:p w14:paraId="5E634C44" w14:textId="77777777" w:rsidR="006D3F46" w:rsidRDefault="00000000">
      <w:pPr>
        <w:pBdr>
          <w:top w:val="nil"/>
          <w:left w:val="nil"/>
          <w:bottom w:val="nil"/>
          <w:right w:val="nil"/>
          <w:between w:val="nil"/>
        </w:pBdr>
        <w:jc w:val="both"/>
        <w:rPr>
          <w:color w:val="000000"/>
        </w:rPr>
      </w:pPr>
      <w:r>
        <w:rPr>
          <w:b/>
          <w:color w:val="000000"/>
          <w:sz w:val="18"/>
          <w:szCs w:val="18"/>
        </w:rPr>
        <w:t>Kalkulátor.cz</w:t>
      </w:r>
      <w:r>
        <w:rPr>
          <w:color w:val="000000"/>
          <w:sz w:val="18"/>
          <w:szCs w:val="18"/>
        </w:rPr>
        <w:t xml:space="preserve"> je český nezávislý srovnávač cenových nabídek dodavatelů energií, pojištění a půjček online, zdarma a bez rizika. Společnost byla založena v březnu 2020 a od té doby se stala jedním z předních srovnávačů na trhu. Za dobu svého působení využilo stránky společnosti kalkulator.cz více jak 230 tisíc zákazníků. Centrála společnosti Kalkulátor.cz sídlí v pražské Libni</w:t>
      </w:r>
      <w:r>
        <w:rPr>
          <w:color w:val="000000"/>
        </w:rPr>
        <w:t>.</w:t>
      </w:r>
    </w:p>
    <w:sectPr w:rsidR="006D3F46">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61BA6" w14:textId="77777777" w:rsidR="00994093" w:rsidRDefault="00994093">
      <w:pPr>
        <w:spacing w:line="240" w:lineRule="auto"/>
      </w:pPr>
      <w:r>
        <w:separator/>
      </w:r>
    </w:p>
  </w:endnote>
  <w:endnote w:type="continuationSeparator" w:id="0">
    <w:p w14:paraId="7A7639D9" w14:textId="77777777" w:rsidR="00994093" w:rsidRDefault="009940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73959" w14:textId="77777777" w:rsidR="006D3F46" w:rsidRDefault="006D3F4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F649F" w14:textId="77777777" w:rsidR="00994093" w:rsidRDefault="00994093">
      <w:pPr>
        <w:spacing w:line="240" w:lineRule="auto"/>
      </w:pPr>
      <w:r>
        <w:separator/>
      </w:r>
    </w:p>
  </w:footnote>
  <w:footnote w:type="continuationSeparator" w:id="0">
    <w:p w14:paraId="77D88F2D" w14:textId="77777777" w:rsidR="00994093" w:rsidRDefault="009940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8D8FE" w14:textId="48C6168A" w:rsidR="006D3F4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1EEDBE5F" wp14:editId="21AD09FF">
          <wp:extent cx="1514475" cy="542687"/>
          <wp:effectExtent l="0" t="0" r="0" b="0"/>
          <wp:docPr id="80624170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F46"/>
    <w:rsid w:val="000A484A"/>
    <w:rsid w:val="000F619C"/>
    <w:rsid w:val="00141D7F"/>
    <w:rsid w:val="001E679D"/>
    <w:rsid w:val="006D317A"/>
    <w:rsid w:val="006D3F46"/>
    <w:rsid w:val="007011E1"/>
    <w:rsid w:val="007827EE"/>
    <w:rsid w:val="007F0FFD"/>
    <w:rsid w:val="00994093"/>
    <w:rsid w:val="009B53BE"/>
    <w:rsid w:val="009B6096"/>
    <w:rsid w:val="00A43610"/>
    <w:rsid w:val="00A83DE9"/>
    <w:rsid w:val="00AF5F28"/>
    <w:rsid w:val="00B7189D"/>
    <w:rsid w:val="00BE51E5"/>
    <w:rsid w:val="00C34E90"/>
    <w:rsid w:val="00C378AC"/>
    <w:rsid w:val="00C745C0"/>
    <w:rsid w:val="00CB08AE"/>
    <w:rsid w:val="00D8022F"/>
    <w:rsid w:val="00DB7B9D"/>
    <w:rsid w:val="00DF646D"/>
    <w:rsid w:val="00ED6330"/>
    <w:rsid w:val="00F008DF"/>
    <w:rsid w:val="00F02CCA"/>
    <w:rsid w:val="00F91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0EA53"/>
  <w15:docId w15:val="{4A517165-C4CD-1040-83B7-567D6A2EB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semiHidden/>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53474">
      <w:bodyDiv w:val="1"/>
      <w:marLeft w:val="0"/>
      <w:marRight w:val="0"/>
      <w:marTop w:val="0"/>
      <w:marBottom w:val="0"/>
      <w:divBdr>
        <w:top w:val="none" w:sz="0" w:space="0" w:color="auto"/>
        <w:left w:val="none" w:sz="0" w:space="0" w:color="auto"/>
        <w:bottom w:val="none" w:sz="0" w:space="0" w:color="auto"/>
        <w:right w:val="none" w:sz="0" w:space="0" w:color="auto"/>
      </w:divBdr>
    </w:div>
    <w:div w:id="1131021669">
      <w:bodyDiv w:val="1"/>
      <w:marLeft w:val="0"/>
      <w:marRight w:val="0"/>
      <w:marTop w:val="0"/>
      <w:marBottom w:val="0"/>
      <w:divBdr>
        <w:top w:val="none" w:sz="0" w:space="0" w:color="auto"/>
        <w:left w:val="none" w:sz="0" w:space="0" w:color="auto"/>
        <w:bottom w:val="none" w:sz="0" w:space="0" w:color="auto"/>
        <w:right w:val="none" w:sz="0" w:space="0" w:color="auto"/>
      </w:divBdr>
    </w:div>
    <w:div w:id="1191142217">
      <w:bodyDiv w:val="1"/>
      <w:marLeft w:val="0"/>
      <w:marRight w:val="0"/>
      <w:marTop w:val="0"/>
      <w:marBottom w:val="0"/>
      <w:divBdr>
        <w:top w:val="none" w:sz="0" w:space="0" w:color="auto"/>
        <w:left w:val="none" w:sz="0" w:space="0" w:color="auto"/>
        <w:bottom w:val="none" w:sz="0" w:space="0" w:color="auto"/>
        <w:right w:val="none" w:sz="0" w:space="0" w:color="auto"/>
      </w:divBdr>
    </w:div>
    <w:div w:id="1430613835">
      <w:bodyDiv w:val="1"/>
      <w:marLeft w:val="0"/>
      <w:marRight w:val="0"/>
      <w:marTop w:val="0"/>
      <w:marBottom w:val="0"/>
      <w:divBdr>
        <w:top w:val="none" w:sz="0" w:space="0" w:color="auto"/>
        <w:left w:val="none" w:sz="0" w:space="0" w:color="auto"/>
        <w:bottom w:val="none" w:sz="0" w:space="0" w:color="auto"/>
        <w:right w:val="none" w:sz="0" w:space="0" w:color="auto"/>
      </w:divBdr>
    </w:div>
    <w:div w:id="2040351245">
      <w:bodyDiv w:val="1"/>
      <w:marLeft w:val="0"/>
      <w:marRight w:val="0"/>
      <w:marTop w:val="0"/>
      <w:marBottom w:val="0"/>
      <w:divBdr>
        <w:top w:val="none" w:sz="0" w:space="0" w:color="auto"/>
        <w:left w:val="none" w:sz="0" w:space="0" w:color="auto"/>
        <w:bottom w:val="none" w:sz="0" w:space="0" w:color="auto"/>
        <w:right w:val="none" w:sz="0" w:space="0" w:color="auto"/>
      </w:divBdr>
    </w:div>
    <w:div w:id="2108839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Q6V3eJmyJlrQdtoXx+QlK/oXw==">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541</Words>
  <Characters>3192</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3726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Šárka Lachoutová</cp:lastModifiedBy>
  <cp:revision>2</cp:revision>
  <dcterms:created xsi:type="dcterms:W3CDTF">2023-10-31T11:57:00Z</dcterms:created>
  <dcterms:modified xsi:type="dcterms:W3CDTF">2023-10-31T11:57:00Z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