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6FBBE" w14:textId="77777777" w:rsidR="005D5AB7" w:rsidRDefault="005D5AB7">
      <w:pPr>
        <w:rPr>
          <w:b/>
          <w:color w:val="000000"/>
          <w:sz w:val="24"/>
          <w:szCs w:val="24"/>
        </w:rPr>
      </w:pPr>
    </w:p>
    <w:p w14:paraId="64E49F88" w14:textId="77777777" w:rsidR="005D5AB7" w:rsidRDefault="005D5AB7">
      <w:pPr>
        <w:rPr>
          <w:b/>
          <w:color w:val="000000"/>
          <w:sz w:val="24"/>
          <w:szCs w:val="24"/>
        </w:rPr>
      </w:pPr>
    </w:p>
    <w:p w14:paraId="31C919D2" w14:textId="77777777" w:rsidR="005D5AB7" w:rsidRDefault="00000000">
      <w:pPr>
        <w:spacing w:line="24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Jakou mají domácnosti v současné době zvolit </w:t>
      </w:r>
      <w:r>
        <w:rPr>
          <w:b/>
          <w:color w:val="000000"/>
          <w:sz w:val="26"/>
          <w:szCs w:val="26"/>
        </w:rPr>
        <w:br/>
        <w:t xml:space="preserve">strategii v oblasti energií? </w:t>
      </w:r>
    </w:p>
    <w:p w14:paraId="0AF058F8" w14:textId="77777777" w:rsidR="005D5AB7" w:rsidRDefault="005D5AB7">
      <w:pPr>
        <w:spacing w:line="240" w:lineRule="auto"/>
        <w:jc w:val="center"/>
        <w:rPr>
          <w:b/>
          <w:color w:val="000000"/>
          <w:sz w:val="26"/>
          <w:szCs w:val="26"/>
        </w:rPr>
      </w:pPr>
    </w:p>
    <w:p w14:paraId="4191E71A" w14:textId="77777777" w:rsidR="005D5AB7" w:rsidRDefault="00000000">
      <w:pPr>
        <w:spacing w:line="24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Aktuálně se ze všeho nejméně vyplatí smlouvy </w:t>
      </w:r>
      <w:r>
        <w:rPr>
          <w:b/>
          <w:color w:val="000000"/>
          <w:sz w:val="26"/>
          <w:szCs w:val="26"/>
        </w:rPr>
        <w:br/>
        <w:t>bez fixace platné na dobu neurčitou. Na jak dlouho tedy fixovat?</w:t>
      </w:r>
    </w:p>
    <w:p w14:paraId="155BB574" w14:textId="77777777" w:rsidR="005D5AB7" w:rsidRDefault="005D5AB7">
      <w:pPr>
        <w:spacing w:line="240" w:lineRule="auto"/>
        <w:rPr>
          <w:b/>
          <w:color w:val="000000"/>
          <w:sz w:val="26"/>
          <w:szCs w:val="26"/>
        </w:rPr>
      </w:pPr>
    </w:p>
    <w:p w14:paraId="7A4CD0EB" w14:textId="77777777" w:rsidR="005D5AB7" w:rsidRDefault="005D5AB7">
      <w:pPr>
        <w:spacing w:line="240" w:lineRule="auto"/>
        <w:rPr>
          <w:b/>
          <w:color w:val="000000"/>
          <w:sz w:val="26"/>
          <w:szCs w:val="26"/>
        </w:rPr>
      </w:pPr>
    </w:p>
    <w:p w14:paraId="6FF7C6E5" w14:textId="067EAA3B" w:rsidR="005D5AB7" w:rsidRDefault="00000000">
      <w:pPr>
        <w:spacing w:line="240" w:lineRule="auto"/>
        <w:rPr>
          <w:b/>
          <w:color w:val="000000"/>
          <w:sz w:val="26"/>
          <w:szCs w:val="26"/>
        </w:rPr>
      </w:pPr>
      <w:r>
        <w:rPr>
          <w:b/>
          <w:color w:val="000000"/>
        </w:rPr>
        <w:t xml:space="preserve">Praha, </w:t>
      </w:r>
      <w:r w:rsidR="00E05F0D">
        <w:rPr>
          <w:b/>
          <w:color w:val="000000"/>
        </w:rPr>
        <w:t>22</w:t>
      </w:r>
      <w:r>
        <w:rPr>
          <w:b/>
          <w:color w:val="000000"/>
        </w:rPr>
        <w:t xml:space="preserve">. května 2024 – Do ceny energií promlouvá hned několik faktorů, které není možné ovlivnit a často ani předpovědět. To jsme ostatně dobře viděli v předchozích turbulentních letech. Dnešní předpovědi jsou proto mnohem zdrženlivější. Obecně se ale počítá s tím, že po aktuálním zlevňování zase přijde mírný růst. Přispěje k tomu nejen zvýšení spotřeby související s oživením průmyslu, ale také blížící </w:t>
      </w:r>
      <w:proofErr w:type="gramStart"/>
      <w:r>
        <w:rPr>
          <w:b/>
          <w:color w:val="000000"/>
        </w:rPr>
        <w:t>se</w:t>
      </w:r>
      <w:proofErr w:type="gramEnd"/>
      <w:r>
        <w:rPr>
          <w:b/>
          <w:color w:val="000000"/>
        </w:rPr>
        <w:t xml:space="preserve"> zastavení provozu evropských uhelných elektráren</w:t>
      </w:r>
      <w:r>
        <w:rPr>
          <w:b/>
        </w:rPr>
        <w:t xml:space="preserve"> </w:t>
      </w:r>
    </w:p>
    <w:p w14:paraId="0F96453E" w14:textId="77777777" w:rsidR="005D5AB7" w:rsidRDefault="005D5AB7"/>
    <w:p w14:paraId="12EB0D5B" w14:textId="77777777" w:rsidR="005D5AB7" w:rsidRDefault="00000000">
      <w:pPr>
        <w:rPr>
          <w:b/>
          <w:color w:val="000000"/>
        </w:rPr>
      </w:pPr>
      <w:r>
        <w:rPr>
          <w:b/>
          <w:color w:val="000000"/>
        </w:rPr>
        <w:t xml:space="preserve">Aktuální ceny elektřiny a plynu </w:t>
      </w:r>
    </w:p>
    <w:p w14:paraId="5E6C0784" w14:textId="77777777" w:rsidR="005D5AB7" w:rsidRDefault="00000000">
      <w:r>
        <w:rPr>
          <w:color w:val="000000"/>
        </w:rPr>
        <w:t>„Abyste věděli, jak dlouhá fixace se vám vyplatí, je nutné porovnat si aktuální ceníky dodavatelů. U ceníků platných v dubnu 2024 se průměrná cena elektřiny u jednoletých a dvouletých fixací pohybuje pod hranicí 3.000 Kč za megawatthodinu (</w:t>
      </w:r>
      <w:proofErr w:type="spellStart"/>
      <w:r>
        <w:rPr>
          <w:color w:val="000000"/>
        </w:rPr>
        <w:t>MWh</w:t>
      </w:r>
      <w:proofErr w:type="spellEnd"/>
      <w:r>
        <w:rPr>
          <w:color w:val="000000"/>
        </w:rPr>
        <w:t xml:space="preserve">), u plynu je to kolem 1.300 Kč za </w:t>
      </w:r>
      <w:proofErr w:type="spellStart"/>
      <w:r>
        <w:rPr>
          <w:color w:val="000000"/>
        </w:rPr>
        <w:t>MWh</w:t>
      </w:r>
      <w:proofErr w:type="spellEnd"/>
      <w:r>
        <w:rPr>
          <w:color w:val="000000"/>
        </w:rPr>
        <w:t>. Tříleté fixace už jsou výhodné o něco méně a ze všeho nejméně se zákazníkům vyplatí smlouvy bez fixace platné na dobu neurčitou,“ říká Lukáš Kaňok, ředitel sekce Energo ze společnosti Kalkulátor.cz.</w:t>
      </w:r>
      <w:r>
        <w:t xml:space="preserve"> </w:t>
      </w:r>
    </w:p>
    <w:p w14:paraId="71693A47" w14:textId="77777777" w:rsidR="005D5AB7" w:rsidRDefault="005D5AB7"/>
    <w:p w14:paraId="6CEDA223" w14:textId="77777777" w:rsidR="005D5AB7" w:rsidRDefault="00000000">
      <w:r>
        <w:rPr>
          <w:noProof/>
        </w:rPr>
        <w:drawing>
          <wp:inline distT="114300" distB="114300" distL="114300" distR="114300" wp14:anchorId="01B1F720" wp14:editId="236240C5">
            <wp:extent cx="5745805" cy="2870200"/>
            <wp:effectExtent l="0" t="0" r="0" b="0"/>
            <wp:docPr id="126944921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3720B94" w14:textId="77777777" w:rsidR="005D5AB7" w:rsidRDefault="005D5AB7">
      <w:pPr>
        <w:jc w:val="center"/>
      </w:pPr>
    </w:p>
    <w:p w14:paraId="79331822" w14:textId="77777777" w:rsidR="005D5AB7" w:rsidRDefault="005D5AB7"/>
    <w:p w14:paraId="3831DBCB" w14:textId="77777777" w:rsidR="005D5AB7" w:rsidRDefault="00000000">
      <w:pPr>
        <w:rPr>
          <w:b/>
        </w:rPr>
      </w:pPr>
      <w:r>
        <w:rPr>
          <w:b/>
        </w:rPr>
        <w:t>Proč je tříletá fixace nevýhodná a nyní již málo běžná</w:t>
      </w:r>
    </w:p>
    <w:p w14:paraId="6BC9D5EE" w14:textId="77777777" w:rsidR="005D5AB7" w:rsidRDefault="00000000">
      <w:r>
        <w:t xml:space="preserve">V první řadě je třeba zmínit, že tříletou fixaci dnes mnoho dodavatelů vůbec nenabízí. Jednoduše proto, že situace je stále poměrně nejistá a na tři roky dopředu se ceny energií těžko odhadují. Pro dodavatele pak může být nastavení příliš nízké ceny značně nevýhodné. Proto když už tříletou fixaci nabídne, </w:t>
      </w:r>
      <w:proofErr w:type="gramStart"/>
      <w:r>
        <w:t>snaží</w:t>
      </w:r>
      <w:proofErr w:type="gramEnd"/>
      <w:r>
        <w:t xml:space="preserve"> se nastavit její sazby tak, aby mu pokryly případné ztráty v dalších letech – a také aby se připravil na nečekané situace, například </w:t>
      </w:r>
      <w:r>
        <w:lastRenderedPageBreak/>
        <w:t>stěhování nebo úmrtí zákazníka. V prvních dvou letech fixace tedy raději nastaví vyšší cenu, než je potřeba. Až v posledním roce se zákazník dostane na sazby, které dnes běžně platí u ročních či dvouletých fixací. A to se skutečně nevyplatí.</w:t>
      </w:r>
    </w:p>
    <w:p w14:paraId="39210DD6" w14:textId="77777777" w:rsidR="005D5AB7" w:rsidRDefault="005D5AB7"/>
    <w:p w14:paraId="441CA6AE" w14:textId="77777777" w:rsidR="005D5AB7" w:rsidRDefault="00000000">
      <w:r>
        <w:t>Rozdíly v cenících na první pohled nevypadají nikterak dramaticky. Nutno ale podotknout, že především v případě větší spotřeby hraje roli každá stokoruna. V praxi to může vypadat následovně:</w:t>
      </w:r>
    </w:p>
    <w:p w14:paraId="1A33362F" w14:textId="77777777" w:rsidR="005D5AB7" w:rsidRDefault="005D5AB7"/>
    <w:p w14:paraId="39B25BCD" w14:textId="77777777" w:rsidR="005D5AB7" w:rsidRDefault="00000000">
      <w:r>
        <w:rPr>
          <w:noProof/>
        </w:rPr>
        <w:drawing>
          <wp:inline distT="114300" distB="114300" distL="114300" distR="114300" wp14:anchorId="0B5B9D9D" wp14:editId="54BA448F">
            <wp:extent cx="5745805" cy="2870200"/>
            <wp:effectExtent l="0" t="0" r="0" b="0"/>
            <wp:docPr id="126944921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805" cy="287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78A031" w14:textId="77777777" w:rsidR="005D5AB7" w:rsidRDefault="005D5AB7"/>
    <w:p w14:paraId="50A62DAC" w14:textId="77777777" w:rsidR="005D5AB7" w:rsidRDefault="005D5AB7">
      <w:pPr>
        <w:rPr>
          <w:color w:val="000000"/>
        </w:rPr>
      </w:pPr>
    </w:p>
    <w:p w14:paraId="12331054" w14:textId="77777777" w:rsidR="005D5AB7" w:rsidRDefault="00000000">
      <w:pPr>
        <w:rPr>
          <w:b/>
        </w:rPr>
      </w:pPr>
      <w:r>
        <w:rPr>
          <w:rFonts w:ascii="Helvetica Neue" w:eastAsia="Helvetica Neue" w:hAnsi="Helvetica Neue" w:cs="Helvetica Neue"/>
          <w:color w:val="000000"/>
          <w:sz w:val="18"/>
          <w:szCs w:val="18"/>
        </w:rPr>
        <w:br/>
      </w:r>
      <w:r>
        <w:rPr>
          <w:b/>
        </w:rPr>
        <w:t>Dvouletá fixace je aktuálně nejlepším řešením</w:t>
      </w:r>
    </w:p>
    <w:p w14:paraId="4C062F1F" w14:textId="77777777" w:rsidR="005D5AB7" w:rsidRDefault="00000000">
      <w:r>
        <w:t xml:space="preserve">„Smlouvy bez fixace jsou v tuto chvíli nejméně výhodné, nevýhodná je i tříletá fixace. Pokud chce zákazník skutečně ušetřit, měl by se teď rozhodovat mezi roční a dvouletou fixací. Ceny jsou tam hodně podobné – byť pořád trochu více nahrávají dvouleté fixaci. V její prospěch potom </w:t>
      </w:r>
      <w:proofErr w:type="gramStart"/>
      <w:r>
        <w:t>hovoří</w:t>
      </w:r>
      <w:proofErr w:type="gramEnd"/>
      <w:r>
        <w:t xml:space="preserve"> i fakt, že dva roky jsou dostatečně dlouhá doba, která může zákazníkovi přinést trochu klidu. Vzhledem k tomu, že novou smlouvu lze podepsat už půl roku před koncem platnosti té původní, u jednoleté fixace je nutné začít velmi rychle řešit další postup. Podle všech předpokladů navíc za půl roku výrazně výhodnější smlouvu neseženete. Počítá se s tím, že ceny dál klesat nebudou – a pokud ano, pak opravdu jen nepatrně. Mnohem pravděpodobnější je mírný růst, který je patrný už v těchto dnech. Dvouletá fixace tak z tohoto srovnání vychází jako vítěz,“ </w:t>
      </w:r>
      <w:r>
        <w:rPr>
          <w:color w:val="000000"/>
        </w:rPr>
        <w:t>říká Lukáš Kaňok, ředitel sekce Energo ze společnosti Kalkulátor.cz.</w:t>
      </w:r>
      <w:r>
        <w:t xml:space="preserve"> </w:t>
      </w:r>
    </w:p>
    <w:p w14:paraId="244A927A" w14:textId="77777777" w:rsidR="005D5AB7" w:rsidRDefault="005D5AB7"/>
    <w:p w14:paraId="5BE22078" w14:textId="77777777" w:rsidR="005D5AB7" w:rsidRDefault="00000000">
      <w:r>
        <w:t>V každém případě platí, že při uzavírání nové smlouvy je velmi důležité načasování. Lepší cenu vždy získáte po konci topné sezóny, tedy třeba v létě. Naopak v průběhu sezóny mohou být ceny mnohem výš. Proto se vyplatí začít včas řešit další postup, a hlavně porovnávat dostupné nabídky. S tím vám pomůže online srovnávač Kalkulátor.cz.</w:t>
      </w:r>
    </w:p>
    <w:p w14:paraId="0D0486BF" w14:textId="77777777" w:rsidR="005D5AB7" w:rsidRDefault="005D5AB7">
      <w:pPr>
        <w:rPr>
          <w:color w:val="000000"/>
        </w:rPr>
      </w:pPr>
    </w:p>
    <w:sectPr w:rsidR="005D5AB7">
      <w:headerReference w:type="default" r:id="rId9"/>
      <w:footerReference w:type="default" r:id="rId10"/>
      <w:pgSz w:w="11909" w:h="16834"/>
      <w:pgMar w:top="1440" w:right="1440" w:bottom="1440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5D090" w14:textId="77777777" w:rsidR="00F67E81" w:rsidRDefault="00F67E81">
      <w:pPr>
        <w:spacing w:line="240" w:lineRule="auto"/>
      </w:pPr>
      <w:r>
        <w:separator/>
      </w:r>
    </w:p>
  </w:endnote>
  <w:endnote w:type="continuationSeparator" w:id="0">
    <w:p w14:paraId="539BFB38" w14:textId="77777777" w:rsidR="00F67E81" w:rsidRDefault="00F67E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F505FEAA-9DE3-B244-8C7B-73C2F12D38BF}"/>
    <w:embedBold r:id="rId2" w:fontKey="{E7FC41EA-65EA-1641-B45A-8B5AE1CFE940}"/>
    <w:embedItalic r:id="rId3" w:fontKey="{942D76C1-53F2-9641-ABF5-B01E359007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6F65E921-CA15-FD49-B007-8DA8FCCA746B}"/>
    <w:embedBold r:id="rId5" w:fontKey="{A175A7C1-F477-884C-8B4C-C87179318B2F}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7" w:fontKey="{8B420B50-3C11-B147-8230-F8EE029DD40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20F89553-B42D-E645-9383-0787378FC3D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00876" w14:textId="77777777" w:rsidR="005D5AB7" w:rsidRDefault="005D5AB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E92E" w14:textId="77777777" w:rsidR="00F67E81" w:rsidRDefault="00F67E81">
      <w:pPr>
        <w:spacing w:line="240" w:lineRule="auto"/>
      </w:pPr>
      <w:r>
        <w:separator/>
      </w:r>
    </w:p>
  </w:footnote>
  <w:footnote w:type="continuationSeparator" w:id="0">
    <w:p w14:paraId="3B2D4422" w14:textId="77777777" w:rsidR="00F67E81" w:rsidRDefault="00F67E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1DF74" w14:textId="77777777" w:rsidR="005D5AB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color w:val="000000"/>
      </w:rPr>
      <w:tab/>
    </w:r>
    <w:r>
      <w:rPr>
        <w:color w:val="000000"/>
      </w:rPr>
      <w:tab/>
      <w:t xml:space="preserve"> </w:t>
    </w:r>
    <w:r>
      <w:rPr>
        <w:noProof/>
        <w:color w:val="000000"/>
      </w:rPr>
      <w:drawing>
        <wp:inline distT="0" distB="0" distL="114300" distR="114300" wp14:anchorId="76ED889A" wp14:editId="119E66DF">
          <wp:extent cx="1514475" cy="542687"/>
          <wp:effectExtent l="0" t="0" r="0" b="0"/>
          <wp:docPr id="12694492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475" cy="542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B7"/>
    <w:rsid w:val="00182420"/>
    <w:rsid w:val="005D5AB7"/>
    <w:rsid w:val="006A05C9"/>
    <w:rsid w:val="007C6EDA"/>
    <w:rsid w:val="00E05F0D"/>
    <w:rsid w:val="00F6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2B7BA2"/>
  <w15:docId w15:val="{4850C2F6-E66B-EA49-84C1-E98C9CE0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">
    <w:name w:val="2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Revize">
    <w:name w:val="Revision"/>
    <w:hidden/>
    <w:uiPriority w:val="99"/>
    <w:semiHidden/>
    <w:rsid w:val="00A10B5F"/>
    <w:pPr>
      <w:spacing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10B5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10B5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10B5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0B5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0B5F"/>
    <w:rPr>
      <w:b/>
      <w:bCs/>
      <w:sz w:val="20"/>
      <w:szCs w:val="20"/>
    </w:rPr>
  </w:style>
  <w:style w:type="paragraph" w:customStyle="1" w:styleId="Normal0">
    <w:name w:val="Normal0"/>
    <w:basedOn w:val="Normln"/>
    <w:uiPriority w:val="1"/>
    <w:qFormat/>
    <w:rsid w:val="60F690BA"/>
  </w:style>
  <w:style w:type="table" w:styleId="Mkatabulky">
    <w:name w:val="Table Grid"/>
    <w:basedOn w:val="Normlntabulka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2DD4"/>
  </w:style>
  <w:style w:type="paragraph" w:styleId="Zpat">
    <w:name w:val="footer"/>
    <w:basedOn w:val="Normln"/>
    <w:link w:val="ZpatChar"/>
    <w:uiPriority w:val="99"/>
    <w:unhideWhenUsed/>
    <w:rsid w:val="00D82DD4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2DD4"/>
  </w:style>
  <w:style w:type="character" w:customStyle="1" w:styleId="apple-converted-space">
    <w:name w:val="apple-converted-space"/>
    <w:basedOn w:val="Standardnpsmoodstavce"/>
    <w:rsid w:val="000A484A"/>
  </w:style>
  <w:style w:type="character" w:styleId="Hypertextovodkaz">
    <w:name w:val="Hyperlink"/>
    <w:basedOn w:val="Standardnpsmoodstavce"/>
    <w:uiPriority w:val="99"/>
    <w:unhideWhenUsed/>
    <w:rsid w:val="000A484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022F"/>
    <w:rPr>
      <w:color w:val="800080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E1D97"/>
    <w:rPr>
      <w:color w:val="605E5C"/>
      <w:shd w:val="clear" w:color="auto" w:fill="E1DFDD"/>
    </w:rPr>
  </w:style>
  <w:style w:type="character" w:customStyle="1" w:styleId="apple-tab-span">
    <w:name w:val="apple-tab-span"/>
    <w:basedOn w:val="Standardnpsmoodstavce"/>
    <w:rsid w:val="0059629B"/>
  </w:style>
  <w:style w:type="paragraph" w:styleId="Normlnweb">
    <w:name w:val="Normal (Web)"/>
    <w:basedOn w:val="Normln"/>
    <w:uiPriority w:val="99"/>
    <w:unhideWhenUsed/>
    <w:rsid w:val="006201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+NLQoP/8MX3SwU0v5QsnV6Ow4w==">CgMxLjA4AHIhMVFES2NmbGg3dWcwZk5rNDhjYWZPZV93endaRmlWOFda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496</Words>
  <Characters>2916</Characters>
  <Application>Microsoft Office Word</Application>
  <DocSecurity>0</DocSecurity>
  <Lines>41</Lines>
  <Paragraphs>12</Paragraphs>
  <ScaleCrop>false</ScaleCrop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ASPEN.PR</dc:creator>
  <cp:lastModifiedBy>Michal Hoblík</cp:lastModifiedBy>
  <cp:revision>2</cp:revision>
  <dcterms:created xsi:type="dcterms:W3CDTF">2024-05-22T11:42:00Z</dcterms:created>
  <dcterms:modified xsi:type="dcterms:W3CDTF">2024-05-22T11:42:00Z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0x0101000D5BA5293DBE084EBC0EC1655A16A59D</vt:lpwstr>
  </property>
</Properties>
</file>