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F5C80" w14:textId="77777777" w:rsidR="00212FA8" w:rsidRDefault="00212FA8">
      <w:pPr>
        <w:rPr>
          <w:b/>
          <w:color w:val="000000"/>
          <w:sz w:val="20"/>
          <w:szCs w:val="20"/>
        </w:rPr>
      </w:pPr>
    </w:p>
    <w:p w14:paraId="1EDC691A" w14:textId="77777777" w:rsidR="00212FA8" w:rsidRDefault="00212FA8">
      <w:pPr>
        <w:spacing w:line="240" w:lineRule="auto"/>
        <w:jc w:val="center"/>
        <w:rPr>
          <w:b/>
          <w:sz w:val="20"/>
          <w:szCs w:val="20"/>
        </w:rPr>
      </w:pPr>
    </w:p>
    <w:p w14:paraId="08B8D2AE" w14:textId="77777777" w:rsidR="00212FA8" w:rsidRDefault="00212FA8">
      <w:pPr>
        <w:spacing w:line="240" w:lineRule="auto"/>
        <w:jc w:val="center"/>
        <w:rPr>
          <w:sz w:val="20"/>
          <w:szCs w:val="20"/>
        </w:rPr>
      </w:pPr>
    </w:p>
    <w:p w14:paraId="35771495" w14:textId="77777777" w:rsidR="00212FA8" w:rsidRDefault="00212FA8">
      <w:pPr>
        <w:spacing w:line="240" w:lineRule="auto"/>
        <w:jc w:val="center"/>
        <w:rPr>
          <w:b/>
          <w:color w:val="000000"/>
          <w:sz w:val="20"/>
          <w:szCs w:val="20"/>
        </w:rPr>
      </w:pPr>
    </w:p>
    <w:p w14:paraId="345D7AE3" w14:textId="77777777" w:rsidR="00212FA8" w:rsidRDefault="00212FA8">
      <w:pPr>
        <w:spacing w:line="240" w:lineRule="auto"/>
        <w:jc w:val="center"/>
        <w:rPr>
          <w:b/>
          <w:color w:val="000000"/>
          <w:sz w:val="20"/>
          <w:szCs w:val="20"/>
        </w:rPr>
      </w:pPr>
    </w:p>
    <w:p w14:paraId="01401961" w14:textId="77777777" w:rsidR="00212FA8" w:rsidRDefault="00000000">
      <w:pPr>
        <w:spacing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Regulovaná cena elektřiny vzroste jen nepatrně, jinak sazby klesají. </w:t>
      </w:r>
    </w:p>
    <w:p w14:paraId="131A5996" w14:textId="77777777" w:rsidR="00212FA8" w:rsidRDefault="00212FA8">
      <w:pPr>
        <w:spacing w:line="240" w:lineRule="auto"/>
        <w:jc w:val="center"/>
        <w:rPr>
          <w:b/>
          <w:color w:val="000000"/>
          <w:sz w:val="24"/>
          <w:szCs w:val="24"/>
        </w:rPr>
      </w:pPr>
    </w:p>
    <w:p w14:paraId="74EB7D92" w14:textId="77777777" w:rsidR="00212FA8" w:rsidRDefault="00000000">
      <w:pPr>
        <w:spacing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Přesto české domácnosti v roce 2025 zbytečně přeplatí kolem deseti miliard korun, vypočítali analytici Kalkulátor.cz</w:t>
      </w:r>
    </w:p>
    <w:p w14:paraId="093D4A95" w14:textId="77777777" w:rsidR="00212FA8" w:rsidRDefault="00000000">
      <w:pPr>
        <w:spacing w:line="240" w:lineRule="auto"/>
        <w:jc w:val="center"/>
        <w:rPr>
          <w:b/>
          <w:color w:val="000000"/>
          <w:sz w:val="20"/>
          <w:szCs w:val="20"/>
        </w:rPr>
      </w:pPr>
      <w:r>
        <w:rPr>
          <w:b/>
          <w:sz w:val="20"/>
          <w:szCs w:val="20"/>
        </w:rPr>
        <w:br/>
      </w:r>
    </w:p>
    <w:p w14:paraId="0F62EDA7" w14:textId="77777777" w:rsidR="00212FA8" w:rsidRDefault="00000000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Praha, 3. ledna 2025 </w:t>
      </w:r>
      <w:proofErr w:type="gramStart"/>
      <w:r>
        <w:rPr>
          <w:b/>
          <w:color w:val="000000"/>
          <w:sz w:val="20"/>
          <w:szCs w:val="20"/>
        </w:rPr>
        <w:t>–  Informace</w:t>
      </w:r>
      <w:proofErr w:type="gramEnd"/>
      <w:r>
        <w:rPr>
          <w:b/>
          <w:color w:val="000000"/>
          <w:sz w:val="20"/>
          <w:szCs w:val="20"/>
        </w:rPr>
        <w:t xml:space="preserve"> o snížení cen energií se na nás valí ze všech stran a špatné zprávy nepřinesl ani ERÚ, který každoročně rozhoduje o výši distribučních poplatků. Ty v případě elektřiny vzrostou průměrně jen o 1,4 %. Pořád ale bude v ČR velký počet domácností, které zaplatí více, než je nutné.</w:t>
      </w:r>
    </w:p>
    <w:p w14:paraId="6143E9FF" w14:textId="77777777" w:rsidR="00212FA8" w:rsidRDefault="00212FA8">
      <w:pPr>
        <w:rPr>
          <w:color w:val="000000"/>
          <w:sz w:val="20"/>
          <w:szCs w:val="20"/>
        </w:rPr>
      </w:pPr>
    </w:p>
    <w:p w14:paraId="0574BCAC" w14:textId="77777777" w:rsidR="00212FA8" w:rsidRDefault="00000000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Pokud jde o elektřinu, odběratele tu můžeme rozdělit do tří základních skupin. Jedná se o zákazníky se smlouvou na dobu neurčitou, se smlouvou na dobu určitou a fixovanými cenami a odběratele s právě končící smlouvou.</w:t>
      </w:r>
    </w:p>
    <w:p w14:paraId="6A76CE93" w14:textId="77777777" w:rsidR="00212FA8" w:rsidRDefault="00212FA8">
      <w:pPr>
        <w:rPr>
          <w:color w:val="000000"/>
          <w:sz w:val="20"/>
          <w:szCs w:val="20"/>
        </w:rPr>
      </w:pPr>
    </w:p>
    <w:p w14:paraId="6ADFD12A" w14:textId="77777777" w:rsidR="00212FA8" w:rsidRDefault="00000000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Zákazníci se smlouvou na dobu neurčitou přeplácí nejvíce</w:t>
      </w:r>
    </w:p>
    <w:p w14:paraId="3FA78099" w14:textId="77777777" w:rsidR="00D61ADB" w:rsidRDefault="00D61ADB">
      <w:pPr>
        <w:rPr>
          <w:b/>
          <w:color w:val="000000"/>
          <w:sz w:val="20"/>
          <w:szCs w:val="20"/>
        </w:rPr>
      </w:pPr>
    </w:p>
    <w:p w14:paraId="27682A73" w14:textId="77777777" w:rsidR="00212FA8" w:rsidRDefault="00000000">
      <w:pPr>
        <w:rPr>
          <w:sz w:val="20"/>
          <w:szCs w:val="20"/>
        </w:rPr>
      </w:pPr>
      <w:r>
        <w:rPr>
          <w:color w:val="000000"/>
          <w:sz w:val="20"/>
          <w:szCs w:val="20"/>
        </w:rPr>
        <w:t>Jedná se o největší skupinu, kterou tvoří asi polovina všech odběratelů elektřiny v Česku. Právě tito zákazníci přeplácejí na elektřině úplně nejvíc, a to i navzdory opakovanému zlevňování. Dodavatelé sice zákazníkům se smlouvou na dobu neurčitou jen v letošním roce několikrát zlevňovali, což je vzhledem k původním astronomickým částkám skvělá zpráva, ani nejnovější sazby se ovšem nemohou rovnat cenám, které mají zákazníci se smlouvami na dobu určitou. Nemluvě o sazbách, které dodavatelé nabízejí novým zákazníkům v rámci akvizičních ceníků. I při velmi střídmém odhadu tak tyto domácnosti v příštím roce přeplatí kolem 10 miliard korun</w:t>
      </w:r>
    </w:p>
    <w:p w14:paraId="623150B9" w14:textId="77777777" w:rsidR="00212FA8" w:rsidRDefault="00212FA8">
      <w:pPr>
        <w:rPr>
          <w:color w:val="000000"/>
          <w:sz w:val="20"/>
          <w:szCs w:val="20"/>
        </w:rPr>
      </w:pPr>
    </w:p>
    <w:p w14:paraId="18F2A5F9" w14:textId="77777777" w:rsidR="00212FA8" w:rsidRDefault="00000000">
      <w:pP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Jak analytici k takovému číslu došli? „Je to poměrně jednoduchá matematika. V Česku máme přibližně 6 milionů odběrných míst, smlouvu na dobu neurčitou tedy mají asi 3 miliony z nich. Průměrná česká domácnost spotřebuje za rok 3,5 </w:t>
      </w:r>
      <w:proofErr w:type="spellStart"/>
      <w:r>
        <w:rPr>
          <w:color w:val="000000"/>
          <w:sz w:val="20"/>
          <w:szCs w:val="20"/>
        </w:rPr>
        <w:t>MWh</w:t>
      </w:r>
      <w:proofErr w:type="spellEnd"/>
      <w:r>
        <w:rPr>
          <w:color w:val="000000"/>
          <w:sz w:val="20"/>
          <w:szCs w:val="20"/>
        </w:rPr>
        <w:t xml:space="preserve"> elektřiny, to dělá celkovou spotřebu domácností se smlouvou na dobu neurčitou přibližně 10,5 milionů </w:t>
      </w:r>
      <w:proofErr w:type="spellStart"/>
      <w:r>
        <w:rPr>
          <w:color w:val="000000"/>
          <w:sz w:val="20"/>
          <w:szCs w:val="20"/>
        </w:rPr>
        <w:t>MWh</w:t>
      </w:r>
      <w:proofErr w:type="spellEnd"/>
      <w:r>
        <w:rPr>
          <w:color w:val="000000"/>
          <w:sz w:val="20"/>
          <w:szCs w:val="20"/>
        </w:rPr>
        <w:t xml:space="preserve"> elektřiny. A protože v akvizičních cenících pořád můžeme pořídit jednu </w:t>
      </w:r>
      <w:proofErr w:type="spellStart"/>
      <w:r>
        <w:rPr>
          <w:color w:val="000000"/>
          <w:sz w:val="20"/>
          <w:szCs w:val="20"/>
        </w:rPr>
        <w:t>MWh</w:t>
      </w:r>
      <w:proofErr w:type="spellEnd"/>
      <w:r>
        <w:rPr>
          <w:color w:val="000000"/>
          <w:sz w:val="20"/>
          <w:szCs w:val="20"/>
        </w:rPr>
        <w:t xml:space="preserve"> elektřiny o téměř 1.000 Kč levněji, máme tady 10 miliard korun, které zákazníci platí úplně zbytečně. Samozřejmě čím vyšší je spotřeba domácnosti, tím vyšší je i potenciální úspora po přechodu na fixované ceny,“ říká Lukáš Ka</w:t>
      </w:r>
      <w:r>
        <w:rPr>
          <w:sz w:val="20"/>
          <w:szCs w:val="20"/>
        </w:rPr>
        <w:t>ňok, ředitel sekce Energo ze společnosti Kalkulátor.cz.</w:t>
      </w:r>
    </w:p>
    <w:p w14:paraId="2FD5EFFD" w14:textId="77777777" w:rsidR="00212FA8" w:rsidRDefault="00212FA8">
      <w:pPr>
        <w:rPr>
          <w:sz w:val="20"/>
          <w:szCs w:val="20"/>
        </w:rPr>
      </w:pPr>
    </w:p>
    <w:p w14:paraId="3D648F08" w14:textId="77777777" w:rsidR="00212FA8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Aktuálně stojí 1 </w:t>
      </w:r>
      <w:proofErr w:type="spellStart"/>
      <w:r>
        <w:rPr>
          <w:sz w:val="20"/>
          <w:szCs w:val="20"/>
        </w:rPr>
        <w:t>MWh</w:t>
      </w:r>
      <w:proofErr w:type="spellEnd"/>
      <w:r>
        <w:rPr>
          <w:sz w:val="20"/>
          <w:szCs w:val="20"/>
        </w:rPr>
        <w:t xml:space="preserve"> elektřiny pro zákazníky s nefixovanými cenami přibližně 4.000 Kč. Oproti loňsku tak pár stovek na každé </w:t>
      </w:r>
      <w:proofErr w:type="spellStart"/>
      <w:r>
        <w:rPr>
          <w:sz w:val="20"/>
          <w:szCs w:val="20"/>
        </w:rPr>
        <w:t>MWh</w:t>
      </w:r>
      <w:proofErr w:type="spellEnd"/>
      <w:r>
        <w:rPr>
          <w:sz w:val="20"/>
          <w:szCs w:val="20"/>
        </w:rPr>
        <w:t xml:space="preserve"> ušetří i ty domácnosti, které zůstanou věrni svému dodavateli a spokojí se se smlouvou na dobu neurčitou. Pokud se ovšem tito zákazníci rozhodnou změnit dodavatele a získají výhodnou akviziční sazbu, mohou ušetřit přibližně 1.000 Kč na každé jedné </w:t>
      </w:r>
      <w:proofErr w:type="spellStart"/>
      <w:r>
        <w:rPr>
          <w:sz w:val="20"/>
          <w:szCs w:val="20"/>
        </w:rPr>
        <w:t>MWh</w:t>
      </w:r>
      <w:proofErr w:type="spellEnd"/>
      <w:r>
        <w:rPr>
          <w:sz w:val="20"/>
          <w:szCs w:val="20"/>
        </w:rPr>
        <w:t>. A to už může být obrovský rozdíl i při nízké roční spotřebě.</w:t>
      </w:r>
    </w:p>
    <w:p w14:paraId="55D002BE" w14:textId="77777777" w:rsidR="00212FA8" w:rsidRDefault="00212FA8">
      <w:pPr>
        <w:rPr>
          <w:color w:val="000000"/>
          <w:sz w:val="20"/>
          <w:szCs w:val="20"/>
        </w:rPr>
      </w:pPr>
    </w:p>
    <w:p w14:paraId="28060EE3" w14:textId="77777777" w:rsidR="00212FA8" w:rsidRDefault="00000000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Tabulka s možnou úsporou na elektřině</w:t>
      </w:r>
    </w:p>
    <w:p w14:paraId="0B75E878" w14:textId="77777777" w:rsidR="00212FA8" w:rsidRDefault="00212FA8">
      <w:pPr>
        <w:rPr>
          <w:color w:val="000000"/>
          <w:sz w:val="20"/>
          <w:szCs w:val="20"/>
        </w:rPr>
      </w:pPr>
    </w:p>
    <w:p w14:paraId="4563FA71" w14:textId="77777777" w:rsidR="00212FA8" w:rsidRDefault="00212FA8">
      <w:pPr>
        <w:jc w:val="center"/>
        <w:rPr>
          <w:color w:val="000000"/>
          <w:sz w:val="20"/>
          <w:szCs w:val="20"/>
        </w:rPr>
      </w:pPr>
    </w:p>
    <w:p w14:paraId="278B9965" w14:textId="77777777" w:rsidR="00212FA8" w:rsidRDefault="00212FA8">
      <w:pPr>
        <w:rPr>
          <w:sz w:val="20"/>
          <w:szCs w:val="20"/>
        </w:rPr>
      </w:pPr>
    </w:p>
    <w:p w14:paraId="31887116" w14:textId="77777777" w:rsidR="00212FA8" w:rsidRDefault="00000000">
      <w:pPr>
        <w:rPr>
          <w:b/>
          <w:color w:val="000000"/>
          <w:sz w:val="20"/>
          <w:szCs w:val="20"/>
        </w:rPr>
      </w:pPr>
      <w:r>
        <w:rPr>
          <w:b/>
          <w:noProof/>
          <w:sz w:val="20"/>
          <w:szCs w:val="20"/>
        </w:rPr>
        <w:lastRenderedPageBreak/>
        <w:drawing>
          <wp:inline distT="114300" distB="114300" distL="114300" distR="114300" wp14:anchorId="131A89B0" wp14:editId="743CEAE4">
            <wp:extent cx="5745805" cy="2870200"/>
            <wp:effectExtent l="0" t="0" r="0" b="0"/>
            <wp:docPr id="186012913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5805" cy="287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A673813" w14:textId="77777777" w:rsidR="00212FA8" w:rsidRDefault="00212FA8">
      <w:pPr>
        <w:rPr>
          <w:b/>
          <w:color w:val="000000"/>
          <w:sz w:val="20"/>
          <w:szCs w:val="20"/>
        </w:rPr>
      </w:pPr>
    </w:p>
    <w:p w14:paraId="44DF1DFF" w14:textId="77777777" w:rsidR="00212FA8" w:rsidRDefault="00000000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Zákazníci s platnou smlouvou a fixovanými cenami</w:t>
      </w:r>
    </w:p>
    <w:p w14:paraId="02548FF5" w14:textId="77777777" w:rsidR="00212FA8" w:rsidRDefault="00000000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Druhou skupinu tvoří zákazníci, kteří mají ceny fixované a jejich smlouva dál platí. Ta část ceny, kterou si s nimi dodavatel zafixoval, se pro ně přirozeně nemění. Pocítí ovšem zdražení distribučních poplatků – byť jak už zaznělo, v letošním roce nebude zdaleka tak dramatické jako loni. Sazby rostly především u poplatku za jistič, vykompenzovalo je ovšem zlevnění systémových služeb a u </w:t>
      </w:r>
      <w:proofErr w:type="spellStart"/>
      <w:r>
        <w:rPr>
          <w:color w:val="000000"/>
          <w:sz w:val="20"/>
          <w:szCs w:val="20"/>
        </w:rPr>
        <w:t>dvoutarifních</w:t>
      </w:r>
      <w:proofErr w:type="spellEnd"/>
      <w:r>
        <w:rPr>
          <w:color w:val="000000"/>
          <w:sz w:val="20"/>
          <w:szCs w:val="20"/>
        </w:rPr>
        <w:t xml:space="preserve"> sazeb i zlevnění distribuce. Celková výše poplatků tak zůstane na podobných úrovních. Přesný vývoj sazeb najdete v tabulce níže – řiďte se podle své distribuční sazby a distributora, který má vaše odběrné místo ve správě.</w:t>
      </w:r>
    </w:p>
    <w:p w14:paraId="0123656D" w14:textId="77777777" w:rsidR="00212FA8" w:rsidRDefault="00212FA8">
      <w:pPr>
        <w:rPr>
          <w:color w:val="000000"/>
          <w:sz w:val="20"/>
          <w:szCs w:val="20"/>
        </w:rPr>
      </w:pPr>
    </w:p>
    <w:p w14:paraId="45F6BBA6" w14:textId="77777777" w:rsidR="00212FA8" w:rsidRDefault="00000000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Tabulka s distribuční sazbou D02d</w:t>
      </w:r>
    </w:p>
    <w:p w14:paraId="2589B0DB" w14:textId="77777777" w:rsidR="00212FA8" w:rsidRDefault="00000000">
      <w:pPr>
        <w:rPr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 wp14:anchorId="16BBA269" wp14:editId="4A10EF42">
            <wp:extent cx="5745805" cy="2870200"/>
            <wp:effectExtent l="0" t="0" r="0" b="0"/>
            <wp:docPr id="186012912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5805" cy="287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23E7412" w14:textId="77777777" w:rsidR="00212FA8" w:rsidRDefault="00212FA8" w:rsidP="00D61ADB"/>
    <w:p w14:paraId="20F7A464" w14:textId="77777777" w:rsidR="00212FA8" w:rsidRDefault="00212FA8">
      <w:pPr>
        <w:jc w:val="center"/>
      </w:pPr>
    </w:p>
    <w:p w14:paraId="576A5F9A" w14:textId="77777777" w:rsidR="00212FA8" w:rsidRDefault="00000000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Tabulka s distribuční sazbou D25d</w:t>
      </w:r>
    </w:p>
    <w:p w14:paraId="26E27788" w14:textId="77777777" w:rsidR="00212FA8" w:rsidRDefault="00212FA8">
      <w:pPr>
        <w:rPr>
          <w:b/>
          <w:color w:val="000000"/>
          <w:sz w:val="20"/>
          <w:szCs w:val="20"/>
        </w:rPr>
      </w:pPr>
    </w:p>
    <w:p w14:paraId="5910550D" w14:textId="77777777" w:rsidR="00212FA8" w:rsidRDefault="00000000">
      <w:pPr>
        <w:tabs>
          <w:tab w:val="center" w:pos="4526"/>
          <w:tab w:val="left" w:pos="7844"/>
        </w:tabs>
      </w:pPr>
      <w:r>
        <w:lastRenderedPageBreak/>
        <w:tab/>
      </w:r>
      <w:r>
        <w:rPr>
          <w:noProof/>
        </w:rPr>
        <w:drawing>
          <wp:inline distT="114300" distB="114300" distL="114300" distR="114300" wp14:anchorId="6C8E5708" wp14:editId="2BADC951">
            <wp:extent cx="5745805" cy="2870200"/>
            <wp:effectExtent l="0" t="0" r="0" b="0"/>
            <wp:docPr id="186012912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5805" cy="287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</w:p>
    <w:p w14:paraId="629BB9D9" w14:textId="77777777" w:rsidR="00212FA8" w:rsidRDefault="00212FA8">
      <w:pPr>
        <w:tabs>
          <w:tab w:val="center" w:pos="4526"/>
          <w:tab w:val="left" w:pos="7844"/>
        </w:tabs>
      </w:pPr>
    </w:p>
    <w:p w14:paraId="0B35A9C7" w14:textId="77777777" w:rsidR="00212FA8" w:rsidRDefault="00000000">
      <w:pPr>
        <w:tabs>
          <w:tab w:val="left" w:pos="3765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Tabulka s distribuční sazbou D57d</w:t>
      </w:r>
      <w:r>
        <w:rPr>
          <w:b/>
          <w:sz w:val="20"/>
          <w:szCs w:val="20"/>
        </w:rPr>
        <w:tab/>
      </w:r>
    </w:p>
    <w:p w14:paraId="24BEF902" w14:textId="77777777" w:rsidR="00212FA8" w:rsidRDefault="00000000">
      <w:pPr>
        <w:tabs>
          <w:tab w:val="left" w:pos="3765"/>
        </w:tabs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 wp14:anchorId="4510E232" wp14:editId="33C273BA">
            <wp:extent cx="5745805" cy="2870200"/>
            <wp:effectExtent l="0" t="0" r="0" b="0"/>
            <wp:docPr id="186012912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5805" cy="287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6380AA" w14:textId="77777777" w:rsidR="00212FA8" w:rsidRDefault="00212FA8">
      <w:pPr>
        <w:tabs>
          <w:tab w:val="left" w:pos="3765"/>
        </w:tabs>
        <w:jc w:val="center"/>
        <w:rPr>
          <w:sz w:val="20"/>
          <w:szCs w:val="20"/>
        </w:rPr>
      </w:pPr>
    </w:p>
    <w:p w14:paraId="7D4BE9C6" w14:textId="77777777" w:rsidR="00212FA8" w:rsidRDefault="00212FA8"/>
    <w:p w14:paraId="64543FF9" w14:textId="77777777" w:rsidR="00212FA8" w:rsidRDefault="00000000">
      <w:pPr>
        <w:rPr>
          <w:b/>
          <w:sz w:val="20"/>
          <w:szCs w:val="20"/>
        </w:rPr>
      </w:pPr>
      <w:r>
        <w:rPr>
          <w:b/>
          <w:sz w:val="20"/>
          <w:szCs w:val="20"/>
        </w:rPr>
        <w:t>Zákazníci s fixovanými cenami, kterým končí smlouva</w:t>
      </w:r>
    </w:p>
    <w:p w14:paraId="0F2714A4" w14:textId="0881D3BA" w:rsidR="00212FA8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Poslední skupinu tvoří zákazníci, kteří měli fixované ceny, ale jejich smlouva se blíží ke konci, a je tedy třeba podepsat novou. Rozdělit je ještě můžeme na ty, kteří měli fixovanou vysokou cenu z období energetické krize (ti jsou jistě rádi, že jim fixace končí), a na ty, kteří fixovali už před krachem Bohemia </w:t>
      </w:r>
      <w:proofErr w:type="spellStart"/>
      <w:r>
        <w:rPr>
          <w:sz w:val="20"/>
          <w:szCs w:val="20"/>
        </w:rPr>
        <w:t>Energy</w:t>
      </w:r>
      <w:proofErr w:type="spellEnd"/>
      <w:r>
        <w:rPr>
          <w:sz w:val="20"/>
          <w:szCs w:val="20"/>
        </w:rPr>
        <w:t xml:space="preserve"> a začátkem války na Ukrajině</w:t>
      </w:r>
      <w:r w:rsidR="00015B1E">
        <w:rPr>
          <w:sz w:val="20"/>
          <w:szCs w:val="20"/>
        </w:rPr>
        <w:t xml:space="preserve">, </w:t>
      </w:r>
      <w:r>
        <w:rPr>
          <w:sz w:val="20"/>
          <w:szCs w:val="20"/>
        </w:rPr>
        <w:t>těm bohužel končí období velmi nízkých cen.</w:t>
      </w:r>
    </w:p>
    <w:p w14:paraId="694FA19B" w14:textId="77777777" w:rsidR="00212FA8" w:rsidRDefault="00212FA8">
      <w:pPr>
        <w:rPr>
          <w:sz w:val="20"/>
          <w:szCs w:val="20"/>
        </w:rPr>
      </w:pPr>
    </w:p>
    <w:p w14:paraId="218554FF" w14:textId="17FD4F24" w:rsidR="00212FA8" w:rsidRPr="00D61ADB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„Pro obě skupiny je klíčové dostat se na co možná nejnižší akviziční cenu a tuto sazbu si fixovat, protože jak už jsme si řekli, doba neurčitá, na kterou po pár smlouvách s fixovanou cenou musí u „neaktivních zákazníků“ přejít každý dodavatel, se nikomu nevyplatí. Mnohem lepší je vyhledat si dostupné nabídky, vybrat tu nejvýhodnější, změnit dodavatele energií a podepsat smlouvu nejlépe na dva roky. V takovém případě lze získat cenu kolem 3.000 Kč za 1 </w:t>
      </w:r>
      <w:proofErr w:type="spellStart"/>
      <w:r>
        <w:rPr>
          <w:sz w:val="20"/>
          <w:szCs w:val="20"/>
        </w:rPr>
        <w:t>MWh</w:t>
      </w:r>
      <w:proofErr w:type="spellEnd"/>
      <w:r>
        <w:rPr>
          <w:sz w:val="20"/>
          <w:szCs w:val="20"/>
        </w:rPr>
        <w:t xml:space="preserve">,“ říká </w:t>
      </w:r>
      <w:r>
        <w:rPr>
          <w:color w:val="000000"/>
          <w:sz w:val="20"/>
          <w:szCs w:val="20"/>
        </w:rPr>
        <w:t>Lukáš Ka</w:t>
      </w:r>
      <w:r>
        <w:rPr>
          <w:sz w:val="20"/>
          <w:szCs w:val="20"/>
        </w:rPr>
        <w:t>ňok z Kalkulátor.cz.</w:t>
      </w:r>
    </w:p>
    <w:sectPr w:rsidR="00212FA8" w:rsidRPr="00D61ADB">
      <w:headerReference w:type="default" r:id="rId11"/>
      <w:footerReference w:type="default" r:id="rId12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6A302" w14:textId="77777777" w:rsidR="00FC1838" w:rsidRDefault="00FC1838">
      <w:pPr>
        <w:spacing w:line="240" w:lineRule="auto"/>
      </w:pPr>
      <w:r>
        <w:separator/>
      </w:r>
    </w:p>
  </w:endnote>
  <w:endnote w:type="continuationSeparator" w:id="0">
    <w:p w14:paraId="565547E6" w14:textId="77777777" w:rsidR="00FC1838" w:rsidRDefault="00FC18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36241" w14:textId="77777777" w:rsidR="00212FA8" w:rsidRDefault="00212FA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E8173" w14:textId="77777777" w:rsidR="00FC1838" w:rsidRDefault="00FC1838">
      <w:pPr>
        <w:spacing w:line="240" w:lineRule="auto"/>
      </w:pPr>
      <w:r>
        <w:separator/>
      </w:r>
    </w:p>
  </w:footnote>
  <w:footnote w:type="continuationSeparator" w:id="0">
    <w:p w14:paraId="554FECB1" w14:textId="77777777" w:rsidR="00FC1838" w:rsidRDefault="00FC18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01665" w14:textId="77777777" w:rsidR="00212FA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 </w:t>
    </w:r>
    <w:r>
      <w:rPr>
        <w:noProof/>
        <w:color w:val="000000"/>
      </w:rPr>
      <w:drawing>
        <wp:inline distT="0" distB="0" distL="114300" distR="114300" wp14:anchorId="3D66A232" wp14:editId="2569262B">
          <wp:extent cx="1514475" cy="542687"/>
          <wp:effectExtent l="0" t="0" r="0" b="0"/>
          <wp:docPr id="18601291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475" cy="542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9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FA8"/>
    <w:rsid w:val="00015B1E"/>
    <w:rsid w:val="00212FA8"/>
    <w:rsid w:val="007A4A67"/>
    <w:rsid w:val="00D61ADB"/>
    <w:rsid w:val="00F84F94"/>
    <w:rsid w:val="00FC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A131F0"/>
  <w15:docId w15:val="{2629EA18-764C-2A4D-93F8-5D1353E01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1D97"/>
    <w:rPr>
      <w:color w:val="605E5C"/>
      <w:shd w:val="clear" w:color="auto" w:fill="E1DFDD"/>
    </w:rPr>
  </w:style>
  <w:style w:type="character" w:customStyle="1" w:styleId="apple-tab-span">
    <w:name w:val="apple-tab-span"/>
    <w:basedOn w:val="Standardnpsmoodstavce"/>
    <w:rsid w:val="0059629B"/>
  </w:style>
  <w:style w:type="paragraph" w:styleId="Normlnweb">
    <w:name w:val="Normal (Web)"/>
    <w:basedOn w:val="Normln"/>
    <w:uiPriority w:val="99"/>
    <w:unhideWhenUsed/>
    <w:rsid w:val="00620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4001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RXE0YdV6iT7TDFCMSgSOE4o7+Q==">CgMxLjA4AHIhMTV4YU5rclZUWElzb0ZCYzRkVnpZNmItcGY4QXlockV2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630</Words>
  <Characters>3718</Characters>
  <Application>Microsoft Office Word</Application>
  <DocSecurity>0</DocSecurity>
  <Lines>30</Lines>
  <Paragraphs>8</Paragraphs>
  <ScaleCrop>false</ScaleCrop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ASPEN.PR</dc:creator>
  <cp:lastModifiedBy>Michal Hoblík</cp:lastModifiedBy>
  <cp:revision>4</cp:revision>
  <dcterms:created xsi:type="dcterms:W3CDTF">2025-01-03T06:36:00Z</dcterms:created>
  <dcterms:modified xsi:type="dcterms:W3CDTF">2025-01-03T06:39:00Z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