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99990" w14:textId="7B71ADA8" w:rsidR="00F75E04" w:rsidRPr="00345447" w:rsidRDefault="00F75E04" w:rsidP="008548F2">
      <w:pPr>
        <w:jc w:val="center"/>
        <w:rPr>
          <w:rFonts w:asciiTheme="minorHAnsi" w:hAnsiTheme="minorHAnsi" w:cstheme="minorHAnsi"/>
          <w:b/>
          <w:bCs/>
          <w:sz w:val="28"/>
          <w:szCs w:val="28"/>
        </w:rPr>
      </w:pPr>
    </w:p>
    <w:p w14:paraId="2D8A9E99" w14:textId="0CF508C3" w:rsidR="003F77BB" w:rsidRDefault="001B1CBD" w:rsidP="00E13CCD">
      <w:pPr>
        <w:jc w:val="center"/>
        <w:rPr>
          <w:rFonts w:asciiTheme="minorHAnsi" w:hAnsiTheme="minorHAnsi" w:cstheme="minorHAnsi"/>
          <w:b/>
          <w:bCs/>
          <w:sz w:val="28"/>
          <w:szCs w:val="28"/>
        </w:rPr>
      </w:pPr>
      <w:r w:rsidRPr="001B1CBD">
        <w:rPr>
          <w:rFonts w:asciiTheme="minorHAnsi" w:hAnsiTheme="minorHAnsi" w:cstheme="minorHAnsi"/>
          <w:b/>
          <w:bCs/>
          <w:sz w:val="28"/>
          <w:szCs w:val="28"/>
        </w:rPr>
        <w:t>Investiční zlato a zvláštní režim DPH</w:t>
      </w:r>
      <w:r>
        <w:rPr>
          <w:rFonts w:asciiTheme="minorHAnsi" w:hAnsiTheme="minorHAnsi" w:cstheme="minorHAnsi"/>
          <w:b/>
          <w:bCs/>
          <w:sz w:val="28"/>
          <w:szCs w:val="28"/>
        </w:rPr>
        <w:t>. Co jste možná nevěděli?</w:t>
      </w:r>
    </w:p>
    <w:p w14:paraId="125BA38F" w14:textId="77777777" w:rsidR="00B22181" w:rsidRPr="003F77BB" w:rsidRDefault="00B22181" w:rsidP="00E13CCD">
      <w:pPr>
        <w:jc w:val="center"/>
        <w:rPr>
          <w:rFonts w:cstheme="minorHAnsi"/>
          <w:b/>
          <w:bCs/>
        </w:rPr>
      </w:pPr>
    </w:p>
    <w:p w14:paraId="0794B412" w14:textId="642ED87D" w:rsidR="001B1CBD" w:rsidRPr="001B1CBD" w:rsidRDefault="003F77BB" w:rsidP="001B1CBD">
      <w:pPr>
        <w:rPr>
          <w:rFonts w:asciiTheme="minorHAnsi" w:hAnsiTheme="minorHAnsi" w:cstheme="minorHAnsi"/>
          <w:color w:val="000000"/>
          <w:sz w:val="20"/>
          <w:szCs w:val="20"/>
        </w:rPr>
      </w:pPr>
      <w:r w:rsidRPr="00BA7552">
        <w:rPr>
          <w:rFonts w:asciiTheme="minorHAnsi" w:hAnsiTheme="minorHAnsi" w:cstheme="minorHAnsi"/>
          <w:b/>
          <w:bCs/>
          <w:sz w:val="20"/>
          <w:szCs w:val="20"/>
        </w:rPr>
        <w:t xml:space="preserve">Praha, </w:t>
      </w:r>
      <w:r w:rsidR="00BD1870">
        <w:rPr>
          <w:rFonts w:asciiTheme="minorHAnsi" w:hAnsiTheme="minorHAnsi" w:cstheme="minorHAnsi"/>
          <w:b/>
          <w:bCs/>
          <w:sz w:val="20"/>
          <w:szCs w:val="20"/>
        </w:rPr>
        <w:t>11</w:t>
      </w:r>
      <w:r w:rsidRPr="00BA7552">
        <w:rPr>
          <w:rFonts w:asciiTheme="minorHAnsi" w:hAnsiTheme="minorHAnsi" w:cstheme="minorHAnsi"/>
          <w:b/>
          <w:bCs/>
          <w:sz w:val="20"/>
          <w:szCs w:val="20"/>
        </w:rPr>
        <w:t xml:space="preserve">. </w:t>
      </w:r>
      <w:r w:rsidR="001B1CBD">
        <w:rPr>
          <w:rFonts w:asciiTheme="minorHAnsi" w:hAnsiTheme="minorHAnsi" w:cstheme="minorHAnsi"/>
          <w:b/>
          <w:bCs/>
          <w:sz w:val="20"/>
          <w:szCs w:val="20"/>
        </w:rPr>
        <w:t>března</w:t>
      </w:r>
      <w:r w:rsidRPr="00BA7552">
        <w:rPr>
          <w:rFonts w:asciiTheme="minorHAnsi" w:hAnsiTheme="minorHAnsi" w:cstheme="minorHAnsi"/>
          <w:b/>
          <w:bCs/>
          <w:sz w:val="20"/>
          <w:szCs w:val="20"/>
        </w:rPr>
        <w:t xml:space="preserve"> 2025 </w:t>
      </w:r>
      <w:r w:rsidR="00E13CCD" w:rsidRPr="00BA7552">
        <w:rPr>
          <w:rFonts w:asciiTheme="minorHAnsi" w:hAnsiTheme="minorHAnsi" w:cstheme="minorHAnsi"/>
          <w:b/>
          <w:bCs/>
          <w:sz w:val="20"/>
          <w:szCs w:val="20"/>
        </w:rPr>
        <w:t>–</w:t>
      </w:r>
      <w:r w:rsidR="00C63D7A" w:rsidRPr="00BA7552">
        <w:rPr>
          <w:rFonts w:asciiTheme="minorHAnsi" w:hAnsiTheme="minorHAnsi" w:cstheme="minorHAnsi"/>
          <w:b/>
          <w:bCs/>
          <w:sz w:val="20"/>
          <w:szCs w:val="20"/>
        </w:rPr>
        <w:t xml:space="preserve"> </w:t>
      </w:r>
      <w:r w:rsidR="001B1CBD" w:rsidRPr="001B1CBD">
        <w:rPr>
          <w:rFonts w:asciiTheme="minorHAnsi" w:hAnsiTheme="minorHAnsi" w:cstheme="minorHAnsi"/>
          <w:b/>
          <w:bCs/>
          <w:color w:val="000000"/>
          <w:sz w:val="20"/>
          <w:szCs w:val="20"/>
        </w:rPr>
        <w:t>Zlato je stále populárnější investicí, a to nejen mezi jednotlivci, ale také mezi firmami. Díky své stabilní hodnotě a ochraně proti inflaci je považováno za bezpečný přístav v nejistých ekonomických časech. Investiční zlato se navíc řídí specifickými daňovými pravidly, která mohou být pro investory výhodná.</w:t>
      </w:r>
    </w:p>
    <w:p w14:paraId="6ECCC9B6" w14:textId="77777777" w:rsidR="001B1CBD" w:rsidRPr="001B1CBD" w:rsidRDefault="001B1CBD" w:rsidP="001B1CBD">
      <w:pPr>
        <w:rPr>
          <w:rFonts w:asciiTheme="minorHAnsi" w:hAnsiTheme="minorHAnsi" w:cstheme="minorHAnsi"/>
          <w:color w:val="000000"/>
          <w:sz w:val="20"/>
          <w:szCs w:val="20"/>
        </w:rPr>
      </w:pPr>
    </w:p>
    <w:p w14:paraId="4F2A488F" w14:textId="77777777" w:rsidR="001B1CBD" w:rsidRDefault="001B1CBD" w:rsidP="001B1CBD">
      <w:pPr>
        <w:rPr>
          <w:rFonts w:asciiTheme="minorHAnsi" w:hAnsiTheme="minorHAnsi" w:cstheme="minorHAnsi"/>
          <w:color w:val="000000"/>
          <w:sz w:val="20"/>
          <w:szCs w:val="20"/>
        </w:rPr>
      </w:pPr>
      <w:r>
        <w:rPr>
          <w:rFonts w:asciiTheme="minorHAnsi" w:hAnsiTheme="minorHAnsi" w:cstheme="minorHAnsi"/>
          <w:color w:val="000000"/>
          <w:sz w:val="20"/>
          <w:szCs w:val="20"/>
        </w:rPr>
        <w:t>„</w:t>
      </w:r>
      <w:r w:rsidRPr="001B1CBD">
        <w:rPr>
          <w:rFonts w:asciiTheme="minorHAnsi" w:hAnsiTheme="minorHAnsi" w:cstheme="minorHAnsi"/>
          <w:color w:val="000000"/>
          <w:sz w:val="20"/>
          <w:szCs w:val="20"/>
        </w:rPr>
        <w:t>Investiční zlato je zvláštní kategorií zlata, která podléhá specifickým právním podmínkám. Podle zákona se za investiční zlato považuje zlato ve formě cihly nebo destičky, které má vlastní identifikační číslo, dosahuje ryzosti nejméně 995 tisícin, jeho hmotnost odpovídá standardům světových trhů a je opatřeno označením výrobce, ryzosti a hmotnosti. Mezi investiční zlato se řadí také zlaté mince, pokud mají ryzost alespoň 900 tisícin, byly vyraženy po roce 1800, byly nebo stále jsou zákonným platidlem ve své zemi původu a jejich prodejní cena nepřesahuje volnou tržní hodnotu zlata o více než 80 %. Za investiční zlato se považují také mince uvedené v seznamu Evropské komise pro daný kalendářní rok</w:t>
      </w:r>
      <w:r>
        <w:rPr>
          <w:rFonts w:asciiTheme="minorHAnsi" w:hAnsiTheme="minorHAnsi" w:cstheme="minorHAnsi"/>
          <w:color w:val="000000"/>
          <w:sz w:val="20"/>
          <w:szCs w:val="20"/>
        </w:rPr>
        <w:t xml:space="preserve">,“ říká Jana </w:t>
      </w:r>
      <w:proofErr w:type="spellStart"/>
      <w:r>
        <w:rPr>
          <w:rFonts w:asciiTheme="minorHAnsi" w:hAnsiTheme="minorHAnsi" w:cstheme="minorHAnsi"/>
          <w:color w:val="000000"/>
          <w:sz w:val="20"/>
          <w:szCs w:val="20"/>
        </w:rPr>
        <w:t>Jáčová</w:t>
      </w:r>
      <w:proofErr w:type="spellEnd"/>
      <w:r>
        <w:rPr>
          <w:rFonts w:asciiTheme="minorHAnsi" w:hAnsiTheme="minorHAnsi" w:cstheme="minorHAnsi"/>
          <w:color w:val="000000"/>
          <w:sz w:val="20"/>
          <w:szCs w:val="20"/>
        </w:rPr>
        <w:t xml:space="preserve"> z UOL Účetnictví.</w:t>
      </w:r>
    </w:p>
    <w:p w14:paraId="19A67674" w14:textId="77777777" w:rsidR="001B1CBD" w:rsidRPr="001B1CBD" w:rsidRDefault="001B1CBD" w:rsidP="001B1CBD">
      <w:pPr>
        <w:rPr>
          <w:rFonts w:asciiTheme="minorHAnsi" w:hAnsiTheme="minorHAnsi" w:cstheme="minorHAnsi"/>
          <w:color w:val="000000"/>
          <w:sz w:val="20"/>
          <w:szCs w:val="20"/>
        </w:rPr>
      </w:pPr>
    </w:p>
    <w:p w14:paraId="221B0CDF" w14:textId="77777777" w:rsidR="001B1CBD" w:rsidRPr="001B1CBD" w:rsidRDefault="001B1CBD" w:rsidP="001B1CBD">
      <w:pPr>
        <w:rPr>
          <w:rFonts w:asciiTheme="minorHAnsi" w:hAnsiTheme="minorHAnsi" w:cstheme="minorHAnsi"/>
          <w:color w:val="000000"/>
          <w:sz w:val="20"/>
          <w:szCs w:val="20"/>
        </w:rPr>
      </w:pPr>
      <w:r w:rsidRPr="001B1CBD">
        <w:rPr>
          <w:rFonts w:asciiTheme="minorHAnsi" w:hAnsiTheme="minorHAnsi" w:cstheme="minorHAnsi"/>
          <w:color w:val="000000"/>
          <w:sz w:val="20"/>
          <w:szCs w:val="20"/>
        </w:rPr>
        <w:t>Investiční zlato je ve třech situacích osvobozeno od daně z přidané hodnoty (DPH) bez nároku na odpočet. První situací je dodání investičního zlata v České republice, druhou je jeho pořízení z jiného členského státu EU a třetí možností je dovoz investičního zlata ze zemí mimo EU. Osvobození platí i v případě, že zlato dodáváte, pořizujete z EU nebo dovážíte.</w:t>
      </w:r>
    </w:p>
    <w:p w14:paraId="02C97A7E" w14:textId="77777777" w:rsidR="001B1CBD" w:rsidRPr="001B1CBD" w:rsidRDefault="001B1CBD" w:rsidP="001B1CBD">
      <w:pPr>
        <w:rPr>
          <w:rFonts w:asciiTheme="minorHAnsi" w:hAnsiTheme="minorHAnsi" w:cstheme="minorHAnsi"/>
          <w:color w:val="000000"/>
          <w:sz w:val="20"/>
          <w:szCs w:val="20"/>
        </w:rPr>
      </w:pPr>
    </w:p>
    <w:p w14:paraId="56790286" w14:textId="77777777" w:rsidR="001B1CBD" w:rsidRDefault="001B1CBD" w:rsidP="001B1CBD">
      <w:pPr>
        <w:rPr>
          <w:rFonts w:asciiTheme="minorHAnsi" w:hAnsiTheme="minorHAnsi" w:cstheme="minorHAnsi"/>
          <w:color w:val="000000"/>
          <w:sz w:val="20"/>
          <w:szCs w:val="20"/>
        </w:rPr>
      </w:pPr>
      <w:r>
        <w:rPr>
          <w:rFonts w:asciiTheme="minorHAnsi" w:hAnsiTheme="minorHAnsi" w:cstheme="minorHAnsi"/>
          <w:color w:val="000000"/>
          <w:sz w:val="20"/>
          <w:szCs w:val="20"/>
        </w:rPr>
        <w:t>„</w:t>
      </w:r>
      <w:r w:rsidRPr="001B1CBD">
        <w:rPr>
          <w:rFonts w:asciiTheme="minorHAnsi" w:hAnsiTheme="minorHAnsi" w:cstheme="minorHAnsi"/>
          <w:color w:val="000000"/>
          <w:sz w:val="20"/>
          <w:szCs w:val="20"/>
        </w:rPr>
        <w:t>Pokud vyrábíte investiční zlato nebo přeměňujete zlato na investiční, můžete se rozhodnout, že u zlata, které by jinak bylo od DPH osvobozeno, daň uplatníte. To platí, pokud ho dodáváte jinému plátci v Česku, a v takovém případě je nutné uplatnit režim přenesené daňové povinnosti. Pokud investiční zlato vyrábíte, máte nárok na odpočet DPH u zboží a služeb souvisejících s výrobou nebo přeměnou zlata. Tento nárok na odpočet vzniká v případě, že nakoupíte investiční zlato, na které jeho výrobce dobrovolně uplatnil DPH, pokud pořídíte zlato, které není investiční, ale bude přeměněno na investiční, nebo pokud využijete službu zahrnující změnu formy, hmotnosti nebo ryzosti zlata</w:t>
      </w:r>
      <w:r>
        <w:rPr>
          <w:rFonts w:asciiTheme="minorHAnsi" w:hAnsiTheme="minorHAnsi" w:cstheme="minorHAnsi"/>
          <w:color w:val="000000"/>
          <w:sz w:val="20"/>
          <w:szCs w:val="20"/>
        </w:rPr>
        <w:t xml:space="preserve">,“ říká Jana </w:t>
      </w:r>
      <w:proofErr w:type="spellStart"/>
      <w:r>
        <w:rPr>
          <w:rFonts w:asciiTheme="minorHAnsi" w:hAnsiTheme="minorHAnsi" w:cstheme="minorHAnsi"/>
          <w:color w:val="000000"/>
          <w:sz w:val="20"/>
          <w:szCs w:val="20"/>
        </w:rPr>
        <w:t>Jáčová</w:t>
      </w:r>
      <w:proofErr w:type="spellEnd"/>
      <w:r>
        <w:rPr>
          <w:rFonts w:asciiTheme="minorHAnsi" w:hAnsiTheme="minorHAnsi" w:cstheme="minorHAnsi"/>
          <w:color w:val="000000"/>
          <w:sz w:val="20"/>
          <w:szCs w:val="20"/>
        </w:rPr>
        <w:t xml:space="preserve"> z UOL Účetnictví.</w:t>
      </w:r>
    </w:p>
    <w:p w14:paraId="19B70206" w14:textId="77777777" w:rsidR="001B1CBD" w:rsidRPr="001B1CBD" w:rsidRDefault="001B1CBD" w:rsidP="001B1CBD">
      <w:pPr>
        <w:rPr>
          <w:rFonts w:asciiTheme="minorHAnsi" w:hAnsiTheme="minorHAnsi" w:cstheme="minorHAnsi"/>
          <w:color w:val="000000"/>
          <w:sz w:val="20"/>
          <w:szCs w:val="20"/>
        </w:rPr>
      </w:pPr>
    </w:p>
    <w:p w14:paraId="326B2A25" w14:textId="77777777" w:rsidR="001B1CBD" w:rsidRDefault="001B1CBD" w:rsidP="001B1CBD">
      <w:pPr>
        <w:rPr>
          <w:rFonts w:asciiTheme="minorHAnsi" w:hAnsiTheme="minorHAnsi" w:cstheme="minorHAnsi"/>
          <w:color w:val="000000"/>
          <w:sz w:val="20"/>
          <w:szCs w:val="20"/>
        </w:rPr>
      </w:pPr>
      <w:r w:rsidRPr="001B1CBD">
        <w:rPr>
          <w:rFonts w:asciiTheme="minorHAnsi" w:hAnsiTheme="minorHAnsi" w:cstheme="minorHAnsi"/>
          <w:color w:val="000000"/>
          <w:sz w:val="20"/>
          <w:szCs w:val="20"/>
        </w:rPr>
        <w:t xml:space="preserve">Při prodeji investičního zlata fyzické osobě, která není plátcem DPH, je nutné vystavit doklad obsahující název firmy, jméno, dodatek ke jménu a sídlo, daňové identifikační číslo (DIČ), evidenční číslo dokladu, rozsah a předmět plnění, datum vystavení dokladu, datum uskutečnění plnění nebo datum přijetí platby, pokud došlo k povinnosti platby před uskutečněním plnění. Dále musí být uvedena celková částka, hmotnost a ryzost zlata, jméno kupujícího, jeho datum narození a místo pobytu. Výjimkou jsou zlaté mince vydané Českou národní bankou, u nichž doklad není nutný. Tento doklad je nutné uchovávat po dobu deseti let. </w:t>
      </w:r>
    </w:p>
    <w:p w14:paraId="32DC6A01" w14:textId="77777777" w:rsidR="001B1CBD" w:rsidRDefault="001B1CBD" w:rsidP="001B1CBD">
      <w:pPr>
        <w:rPr>
          <w:rFonts w:asciiTheme="minorHAnsi" w:hAnsiTheme="minorHAnsi" w:cstheme="minorHAnsi"/>
          <w:color w:val="000000"/>
          <w:sz w:val="20"/>
          <w:szCs w:val="20"/>
        </w:rPr>
      </w:pPr>
    </w:p>
    <w:p w14:paraId="79CBA68F" w14:textId="4FD470EA" w:rsidR="001B1CBD" w:rsidRDefault="001B1CBD" w:rsidP="001B1CBD">
      <w:pPr>
        <w:rPr>
          <w:rFonts w:asciiTheme="minorHAnsi" w:hAnsiTheme="minorHAnsi" w:cstheme="minorHAnsi"/>
          <w:color w:val="000000"/>
          <w:sz w:val="20"/>
          <w:szCs w:val="20"/>
        </w:rPr>
      </w:pPr>
      <w:r>
        <w:rPr>
          <w:rFonts w:asciiTheme="minorHAnsi" w:hAnsiTheme="minorHAnsi" w:cstheme="minorHAnsi"/>
          <w:color w:val="000000"/>
          <w:sz w:val="20"/>
          <w:szCs w:val="20"/>
        </w:rPr>
        <w:t>„</w:t>
      </w:r>
      <w:r w:rsidRPr="001B1CBD">
        <w:rPr>
          <w:rFonts w:asciiTheme="minorHAnsi" w:hAnsiTheme="minorHAnsi" w:cstheme="minorHAnsi"/>
          <w:color w:val="000000"/>
          <w:sz w:val="20"/>
          <w:szCs w:val="20"/>
        </w:rPr>
        <w:t>Pokud prodáváte investiční zlato plátci DPH nebo osobě povinné k dani, je nutné na dokladu uvést hmotnost a ryzost zlata.</w:t>
      </w:r>
      <w:r>
        <w:rPr>
          <w:rFonts w:asciiTheme="minorHAnsi" w:hAnsiTheme="minorHAnsi" w:cstheme="minorHAnsi"/>
          <w:color w:val="000000"/>
          <w:sz w:val="20"/>
          <w:szCs w:val="20"/>
        </w:rPr>
        <w:t xml:space="preserve"> </w:t>
      </w:r>
      <w:r w:rsidRPr="001B1CBD">
        <w:rPr>
          <w:rFonts w:asciiTheme="minorHAnsi" w:hAnsiTheme="minorHAnsi" w:cstheme="minorHAnsi"/>
          <w:color w:val="000000"/>
          <w:sz w:val="20"/>
          <w:szCs w:val="20"/>
        </w:rPr>
        <w:t>Pokud obchodujete s jinými cennými kovy nebo drahými kameny, zvláštní režim DPH pro investiční zlato se na vás nevztahuje a postupujete podle standardních daňových pravidel</w:t>
      </w:r>
      <w:r>
        <w:rPr>
          <w:rFonts w:asciiTheme="minorHAnsi" w:hAnsiTheme="minorHAnsi" w:cstheme="minorHAnsi"/>
          <w:color w:val="000000"/>
          <w:sz w:val="20"/>
          <w:szCs w:val="20"/>
        </w:rPr>
        <w:t xml:space="preserve">,“ dodává Jana </w:t>
      </w:r>
      <w:proofErr w:type="spellStart"/>
      <w:r>
        <w:rPr>
          <w:rFonts w:asciiTheme="minorHAnsi" w:hAnsiTheme="minorHAnsi" w:cstheme="minorHAnsi"/>
          <w:color w:val="000000"/>
          <w:sz w:val="20"/>
          <w:szCs w:val="20"/>
        </w:rPr>
        <w:t>Jáčová</w:t>
      </w:r>
      <w:proofErr w:type="spellEnd"/>
      <w:r>
        <w:rPr>
          <w:rFonts w:asciiTheme="minorHAnsi" w:hAnsiTheme="minorHAnsi" w:cstheme="minorHAnsi"/>
          <w:color w:val="000000"/>
          <w:sz w:val="20"/>
          <w:szCs w:val="20"/>
        </w:rPr>
        <w:t xml:space="preserve"> z UOL Účetnictví.</w:t>
      </w:r>
    </w:p>
    <w:p w14:paraId="4A0396A6" w14:textId="77777777" w:rsidR="000B64AC" w:rsidRDefault="000B64AC" w:rsidP="00B22181">
      <w:pPr>
        <w:rPr>
          <w:rFonts w:asciiTheme="minorHAnsi" w:hAnsiTheme="minorHAnsi" w:cstheme="minorHAnsi"/>
          <w:color w:val="000000"/>
          <w:sz w:val="20"/>
          <w:szCs w:val="20"/>
        </w:rPr>
      </w:pPr>
    </w:p>
    <w:p w14:paraId="70D629A6" w14:textId="16662B2D" w:rsidR="00C96C90" w:rsidRPr="00E84F23" w:rsidRDefault="00C96C90" w:rsidP="00675521">
      <w:pPr>
        <w:rPr>
          <w:rFonts w:asciiTheme="minorHAnsi" w:hAnsiTheme="minorHAnsi" w:cstheme="minorHAnsi"/>
          <w:color w:val="000000"/>
          <w:sz w:val="20"/>
          <w:szCs w:val="20"/>
        </w:rPr>
      </w:pPr>
    </w:p>
    <w:sectPr w:rsidR="00C96C90" w:rsidRPr="00E84F23">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6EDA8" w14:textId="77777777" w:rsidR="009B4E61" w:rsidRDefault="009B4E61" w:rsidP="002B7CB9">
      <w:r>
        <w:separator/>
      </w:r>
    </w:p>
  </w:endnote>
  <w:endnote w:type="continuationSeparator" w:id="0">
    <w:p w14:paraId="3B4A3A4F" w14:textId="77777777" w:rsidR="009B4E61" w:rsidRDefault="009B4E61" w:rsidP="002B7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B0410" w14:textId="77777777" w:rsidR="009B4E61" w:rsidRDefault="009B4E61" w:rsidP="002B7CB9">
      <w:r>
        <w:separator/>
      </w:r>
    </w:p>
  </w:footnote>
  <w:footnote w:type="continuationSeparator" w:id="0">
    <w:p w14:paraId="75C17798" w14:textId="77777777" w:rsidR="009B4E61" w:rsidRDefault="009B4E61" w:rsidP="002B7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E3C61" w14:textId="03798E1A" w:rsidR="002B7CB9" w:rsidRDefault="002B7CB9" w:rsidP="002B7CB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0215A"/>
    <w:multiLevelType w:val="hybridMultilevel"/>
    <w:tmpl w:val="50F2A8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10283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2E7"/>
    <w:rsid w:val="00001067"/>
    <w:rsid w:val="00003F0F"/>
    <w:rsid w:val="00027747"/>
    <w:rsid w:val="0004147F"/>
    <w:rsid w:val="000639F9"/>
    <w:rsid w:val="00085B31"/>
    <w:rsid w:val="000A2AD3"/>
    <w:rsid w:val="000A4F2F"/>
    <w:rsid w:val="000B64AC"/>
    <w:rsid w:val="000C7BC1"/>
    <w:rsid w:val="000E7526"/>
    <w:rsid w:val="001000F7"/>
    <w:rsid w:val="00122022"/>
    <w:rsid w:val="00140D96"/>
    <w:rsid w:val="00151B41"/>
    <w:rsid w:val="00171B40"/>
    <w:rsid w:val="001754AE"/>
    <w:rsid w:val="001817B2"/>
    <w:rsid w:val="001B1697"/>
    <w:rsid w:val="001B1CBD"/>
    <w:rsid w:val="001B3219"/>
    <w:rsid w:val="001C7E26"/>
    <w:rsid w:val="001D0EC2"/>
    <w:rsid w:val="001D3865"/>
    <w:rsid w:val="001E14A5"/>
    <w:rsid w:val="00200934"/>
    <w:rsid w:val="0022799D"/>
    <w:rsid w:val="0024217D"/>
    <w:rsid w:val="0026331E"/>
    <w:rsid w:val="00285C84"/>
    <w:rsid w:val="00295000"/>
    <w:rsid w:val="002B3B89"/>
    <w:rsid w:val="002B7CB9"/>
    <w:rsid w:val="002C4F4D"/>
    <w:rsid w:val="002D0410"/>
    <w:rsid w:val="002D173D"/>
    <w:rsid w:val="0031758D"/>
    <w:rsid w:val="003337AA"/>
    <w:rsid w:val="0034212E"/>
    <w:rsid w:val="00345447"/>
    <w:rsid w:val="00366D28"/>
    <w:rsid w:val="0037420B"/>
    <w:rsid w:val="003936D7"/>
    <w:rsid w:val="003A463D"/>
    <w:rsid w:val="003B42A9"/>
    <w:rsid w:val="003F77BB"/>
    <w:rsid w:val="00412E34"/>
    <w:rsid w:val="00416509"/>
    <w:rsid w:val="0043249C"/>
    <w:rsid w:val="00432A54"/>
    <w:rsid w:val="00453272"/>
    <w:rsid w:val="00462791"/>
    <w:rsid w:val="00464240"/>
    <w:rsid w:val="0046486B"/>
    <w:rsid w:val="004B63A0"/>
    <w:rsid w:val="004D7BDF"/>
    <w:rsid w:val="00533350"/>
    <w:rsid w:val="00541DD2"/>
    <w:rsid w:val="00547005"/>
    <w:rsid w:val="00562E58"/>
    <w:rsid w:val="00572EBD"/>
    <w:rsid w:val="005839D3"/>
    <w:rsid w:val="00597BF0"/>
    <w:rsid w:val="005A2CB2"/>
    <w:rsid w:val="005D2E4F"/>
    <w:rsid w:val="00632D57"/>
    <w:rsid w:val="00633583"/>
    <w:rsid w:val="00675521"/>
    <w:rsid w:val="006915C5"/>
    <w:rsid w:val="006917B2"/>
    <w:rsid w:val="006A5666"/>
    <w:rsid w:val="006B14BD"/>
    <w:rsid w:val="006C1137"/>
    <w:rsid w:val="00702A43"/>
    <w:rsid w:val="007167A1"/>
    <w:rsid w:val="00747927"/>
    <w:rsid w:val="0076725A"/>
    <w:rsid w:val="007800D4"/>
    <w:rsid w:val="00782647"/>
    <w:rsid w:val="0079274B"/>
    <w:rsid w:val="00792867"/>
    <w:rsid w:val="00794DFD"/>
    <w:rsid w:val="007A4A67"/>
    <w:rsid w:val="007B2EE5"/>
    <w:rsid w:val="007B7897"/>
    <w:rsid w:val="007D5237"/>
    <w:rsid w:val="007E22E7"/>
    <w:rsid w:val="007F0BAA"/>
    <w:rsid w:val="00803EAA"/>
    <w:rsid w:val="00810D0E"/>
    <w:rsid w:val="008174C7"/>
    <w:rsid w:val="0082093E"/>
    <w:rsid w:val="00821A3E"/>
    <w:rsid w:val="008548F2"/>
    <w:rsid w:val="00854BE7"/>
    <w:rsid w:val="00867486"/>
    <w:rsid w:val="00867865"/>
    <w:rsid w:val="00870748"/>
    <w:rsid w:val="008A11E2"/>
    <w:rsid w:val="008B0A14"/>
    <w:rsid w:val="008C0EB8"/>
    <w:rsid w:val="008C2A4E"/>
    <w:rsid w:val="008E5578"/>
    <w:rsid w:val="008E768C"/>
    <w:rsid w:val="009040CB"/>
    <w:rsid w:val="00920296"/>
    <w:rsid w:val="00980048"/>
    <w:rsid w:val="009B2E3F"/>
    <w:rsid w:val="009B3AB3"/>
    <w:rsid w:val="009B4E61"/>
    <w:rsid w:val="009C22C2"/>
    <w:rsid w:val="009D01BC"/>
    <w:rsid w:val="009D5F9B"/>
    <w:rsid w:val="009E2009"/>
    <w:rsid w:val="009E3E82"/>
    <w:rsid w:val="009F5B4C"/>
    <w:rsid w:val="00A01B7A"/>
    <w:rsid w:val="00A047D0"/>
    <w:rsid w:val="00A219DC"/>
    <w:rsid w:val="00A27B77"/>
    <w:rsid w:val="00A360F1"/>
    <w:rsid w:val="00A436BE"/>
    <w:rsid w:val="00A56267"/>
    <w:rsid w:val="00A71800"/>
    <w:rsid w:val="00A96DA5"/>
    <w:rsid w:val="00AB1E89"/>
    <w:rsid w:val="00AC2059"/>
    <w:rsid w:val="00AC634B"/>
    <w:rsid w:val="00AD57EE"/>
    <w:rsid w:val="00B04CF0"/>
    <w:rsid w:val="00B22181"/>
    <w:rsid w:val="00B27530"/>
    <w:rsid w:val="00B552C2"/>
    <w:rsid w:val="00B5540F"/>
    <w:rsid w:val="00B70C9B"/>
    <w:rsid w:val="00B927BD"/>
    <w:rsid w:val="00B96FAB"/>
    <w:rsid w:val="00BA5011"/>
    <w:rsid w:val="00BA7552"/>
    <w:rsid w:val="00BB118C"/>
    <w:rsid w:val="00BC7E04"/>
    <w:rsid w:val="00BD1870"/>
    <w:rsid w:val="00C1768C"/>
    <w:rsid w:val="00C32486"/>
    <w:rsid w:val="00C334D6"/>
    <w:rsid w:val="00C425A3"/>
    <w:rsid w:val="00C565B2"/>
    <w:rsid w:val="00C5772E"/>
    <w:rsid w:val="00C63D7A"/>
    <w:rsid w:val="00C96C90"/>
    <w:rsid w:val="00CA587B"/>
    <w:rsid w:val="00CA63A5"/>
    <w:rsid w:val="00CE7C06"/>
    <w:rsid w:val="00D320BF"/>
    <w:rsid w:val="00D374A9"/>
    <w:rsid w:val="00D62B05"/>
    <w:rsid w:val="00D9353A"/>
    <w:rsid w:val="00DA48BD"/>
    <w:rsid w:val="00DB00FA"/>
    <w:rsid w:val="00DB75C2"/>
    <w:rsid w:val="00DC0F54"/>
    <w:rsid w:val="00DC1824"/>
    <w:rsid w:val="00DF2EB1"/>
    <w:rsid w:val="00DF745D"/>
    <w:rsid w:val="00E12462"/>
    <w:rsid w:val="00E13CCD"/>
    <w:rsid w:val="00E218F4"/>
    <w:rsid w:val="00E33B30"/>
    <w:rsid w:val="00E3464D"/>
    <w:rsid w:val="00E47B34"/>
    <w:rsid w:val="00E61921"/>
    <w:rsid w:val="00E643FF"/>
    <w:rsid w:val="00E70AFC"/>
    <w:rsid w:val="00E82D16"/>
    <w:rsid w:val="00E84F23"/>
    <w:rsid w:val="00E9789E"/>
    <w:rsid w:val="00EA3072"/>
    <w:rsid w:val="00ED31B3"/>
    <w:rsid w:val="00ED663C"/>
    <w:rsid w:val="00EE37DC"/>
    <w:rsid w:val="00F23F22"/>
    <w:rsid w:val="00F327AE"/>
    <w:rsid w:val="00F342B2"/>
    <w:rsid w:val="00F57BE5"/>
    <w:rsid w:val="00F57D60"/>
    <w:rsid w:val="00F642F4"/>
    <w:rsid w:val="00F75E04"/>
    <w:rsid w:val="00F76F5B"/>
    <w:rsid w:val="00F77E56"/>
    <w:rsid w:val="00F97DD7"/>
    <w:rsid w:val="00FA3546"/>
    <w:rsid w:val="00FB72F5"/>
    <w:rsid w:val="00FC3E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FA811"/>
  <w15:chartTrackingRefBased/>
  <w15:docId w15:val="{E872CFB7-87BB-4DB0-ABFF-2ADF2AF3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94DF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A3546"/>
    <w:pPr>
      <w:spacing w:after="160" w:line="259" w:lineRule="auto"/>
      <w:ind w:left="720"/>
      <w:contextualSpacing/>
    </w:pPr>
    <w:rPr>
      <w:rFonts w:asciiTheme="minorHAnsi" w:eastAsiaTheme="minorHAnsi" w:hAnsiTheme="minorHAnsi" w:cstheme="minorBidi"/>
      <w:sz w:val="22"/>
      <w:szCs w:val="22"/>
      <w:lang w:eastAsia="en-US"/>
    </w:rPr>
  </w:style>
  <w:style w:type="paragraph" w:styleId="Zhlav">
    <w:name w:val="header"/>
    <w:basedOn w:val="Normln"/>
    <w:link w:val="Zhlav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2B7CB9"/>
  </w:style>
  <w:style w:type="paragraph" w:styleId="Zpat">
    <w:name w:val="footer"/>
    <w:basedOn w:val="Normln"/>
    <w:link w:val="Zpat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2B7CB9"/>
  </w:style>
  <w:style w:type="paragraph" w:styleId="Revize">
    <w:name w:val="Revision"/>
    <w:hidden/>
    <w:uiPriority w:val="99"/>
    <w:semiHidden/>
    <w:rsid w:val="00E82D16"/>
    <w:pPr>
      <w:spacing w:after="0" w:line="240" w:lineRule="auto"/>
    </w:pPr>
  </w:style>
  <w:style w:type="character" w:styleId="Odkaznakoment">
    <w:name w:val="annotation reference"/>
    <w:basedOn w:val="Standardnpsmoodstavce"/>
    <w:uiPriority w:val="99"/>
    <w:semiHidden/>
    <w:unhideWhenUsed/>
    <w:rsid w:val="000C7BC1"/>
    <w:rPr>
      <w:sz w:val="16"/>
      <w:szCs w:val="16"/>
    </w:rPr>
  </w:style>
  <w:style w:type="paragraph" w:styleId="Textkomente">
    <w:name w:val="annotation text"/>
    <w:basedOn w:val="Normln"/>
    <w:link w:val="TextkomenteChar"/>
    <w:uiPriority w:val="99"/>
    <w:semiHidden/>
    <w:unhideWhenUsed/>
    <w:rsid w:val="000C7BC1"/>
    <w:rPr>
      <w:sz w:val="20"/>
      <w:szCs w:val="20"/>
    </w:rPr>
  </w:style>
  <w:style w:type="character" w:customStyle="1" w:styleId="TextkomenteChar">
    <w:name w:val="Text komentáře Char"/>
    <w:basedOn w:val="Standardnpsmoodstavce"/>
    <w:link w:val="Textkomente"/>
    <w:uiPriority w:val="99"/>
    <w:semiHidden/>
    <w:rsid w:val="000C7BC1"/>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0C7BC1"/>
    <w:rPr>
      <w:b/>
      <w:bCs/>
    </w:rPr>
  </w:style>
  <w:style w:type="character" w:customStyle="1" w:styleId="PedmtkomenteChar">
    <w:name w:val="Předmět komentáře Char"/>
    <w:basedOn w:val="TextkomenteChar"/>
    <w:link w:val="Pedmtkomente"/>
    <w:uiPriority w:val="99"/>
    <w:semiHidden/>
    <w:rsid w:val="000C7BC1"/>
    <w:rPr>
      <w:rFonts w:ascii="Times New Roman" w:eastAsia="Times New Roman" w:hAnsi="Times New Roman" w:cs="Times New Roman"/>
      <w:b/>
      <w:bCs/>
      <w:sz w:val="20"/>
      <w:szCs w:val="20"/>
      <w:lang w:eastAsia="cs-CZ"/>
    </w:rPr>
  </w:style>
  <w:style w:type="character" w:customStyle="1" w:styleId="gmail-apple-converted-space">
    <w:name w:val="gmail-apple-converted-space"/>
    <w:basedOn w:val="Standardnpsmoodstavce"/>
    <w:rsid w:val="00345447"/>
  </w:style>
  <w:style w:type="character" w:styleId="Hypertextovodkaz">
    <w:name w:val="Hyperlink"/>
    <w:basedOn w:val="Standardnpsmoodstavce"/>
    <w:uiPriority w:val="99"/>
    <w:unhideWhenUsed/>
    <w:rsid w:val="00E13CCD"/>
    <w:rPr>
      <w:color w:val="0563C1" w:themeColor="hyperlink"/>
      <w:u w:val="single"/>
    </w:rPr>
  </w:style>
  <w:style w:type="character" w:styleId="Nevyeenzmnka">
    <w:name w:val="Unresolved Mention"/>
    <w:basedOn w:val="Standardnpsmoodstavce"/>
    <w:uiPriority w:val="99"/>
    <w:semiHidden/>
    <w:unhideWhenUsed/>
    <w:rsid w:val="00E13CCD"/>
    <w:rPr>
      <w:color w:val="605E5C"/>
      <w:shd w:val="clear" w:color="auto" w:fill="E1DFDD"/>
    </w:rPr>
  </w:style>
  <w:style w:type="table" w:styleId="Mkatabulky">
    <w:name w:val="Table Grid"/>
    <w:basedOn w:val="Normlntabulka"/>
    <w:uiPriority w:val="39"/>
    <w:rsid w:val="00C63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rosttabulka1">
    <w:name w:val="Plain Table 1"/>
    <w:basedOn w:val="Normlntabulka"/>
    <w:uiPriority w:val="41"/>
    <w:rsid w:val="00C63D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112">
      <w:bodyDiv w:val="1"/>
      <w:marLeft w:val="0"/>
      <w:marRight w:val="0"/>
      <w:marTop w:val="0"/>
      <w:marBottom w:val="0"/>
      <w:divBdr>
        <w:top w:val="none" w:sz="0" w:space="0" w:color="auto"/>
        <w:left w:val="none" w:sz="0" w:space="0" w:color="auto"/>
        <w:bottom w:val="none" w:sz="0" w:space="0" w:color="auto"/>
        <w:right w:val="none" w:sz="0" w:space="0" w:color="auto"/>
      </w:divBdr>
    </w:div>
    <w:div w:id="98767521">
      <w:bodyDiv w:val="1"/>
      <w:marLeft w:val="0"/>
      <w:marRight w:val="0"/>
      <w:marTop w:val="0"/>
      <w:marBottom w:val="0"/>
      <w:divBdr>
        <w:top w:val="none" w:sz="0" w:space="0" w:color="auto"/>
        <w:left w:val="none" w:sz="0" w:space="0" w:color="auto"/>
        <w:bottom w:val="none" w:sz="0" w:space="0" w:color="auto"/>
        <w:right w:val="none" w:sz="0" w:space="0" w:color="auto"/>
      </w:divBdr>
    </w:div>
    <w:div w:id="180512275">
      <w:bodyDiv w:val="1"/>
      <w:marLeft w:val="0"/>
      <w:marRight w:val="0"/>
      <w:marTop w:val="0"/>
      <w:marBottom w:val="0"/>
      <w:divBdr>
        <w:top w:val="none" w:sz="0" w:space="0" w:color="auto"/>
        <w:left w:val="none" w:sz="0" w:space="0" w:color="auto"/>
        <w:bottom w:val="none" w:sz="0" w:space="0" w:color="auto"/>
        <w:right w:val="none" w:sz="0" w:space="0" w:color="auto"/>
      </w:divBdr>
    </w:div>
    <w:div w:id="246308561">
      <w:bodyDiv w:val="1"/>
      <w:marLeft w:val="0"/>
      <w:marRight w:val="0"/>
      <w:marTop w:val="0"/>
      <w:marBottom w:val="0"/>
      <w:divBdr>
        <w:top w:val="none" w:sz="0" w:space="0" w:color="auto"/>
        <w:left w:val="none" w:sz="0" w:space="0" w:color="auto"/>
        <w:bottom w:val="none" w:sz="0" w:space="0" w:color="auto"/>
        <w:right w:val="none" w:sz="0" w:space="0" w:color="auto"/>
      </w:divBdr>
      <w:divsChild>
        <w:div w:id="958684450">
          <w:marLeft w:val="0"/>
          <w:marRight w:val="0"/>
          <w:marTop w:val="0"/>
          <w:marBottom w:val="0"/>
          <w:divBdr>
            <w:top w:val="none" w:sz="0" w:space="0" w:color="auto"/>
            <w:left w:val="none" w:sz="0" w:space="0" w:color="auto"/>
            <w:bottom w:val="none" w:sz="0" w:space="0" w:color="auto"/>
            <w:right w:val="none" w:sz="0" w:space="0" w:color="auto"/>
          </w:divBdr>
        </w:div>
        <w:div w:id="167642804">
          <w:marLeft w:val="0"/>
          <w:marRight w:val="0"/>
          <w:marTop w:val="0"/>
          <w:marBottom w:val="0"/>
          <w:divBdr>
            <w:top w:val="none" w:sz="0" w:space="0" w:color="auto"/>
            <w:left w:val="none" w:sz="0" w:space="0" w:color="auto"/>
            <w:bottom w:val="none" w:sz="0" w:space="0" w:color="auto"/>
            <w:right w:val="none" w:sz="0" w:space="0" w:color="auto"/>
          </w:divBdr>
        </w:div>
        <w:div w:id="1110391028">
          <w:marLeft w:val="0"/>
          <w:marRight w:val="0"/>
          <w:marTop w:val="0"/>
          <w:marBottom w:val="0"/>
          <w:divBdr>
            <w:top w:val="none" w:sz="0" w:space="0" w:color="auto"/>
            <w:left w:val="none" w:sz="0" w:space="0" w:color="auto"/>
            <w:bottom w:val="none" w:sz="0" w:space="0" w:color="auto"/>
            <w:right w:val="none" w:sz="0" w:space="0" w:color="auto"/>
          </w:divBdr>
        </w:div>
      </w:divsChild>
    </w:div>
    <w:div w:id="261036141">
      <w:bodyDiv w:val="1"/>
      <w:marLeft w:val="0"/>
      <w:marRight w:val="0"/>
      <w:marTop w:val="0"/>
      <w:marBottom w:val="0"/>
      <w:divBdr>
        <w:top w:val="none" w:sz="0" w:space="0" w:color="auto"/>
        <w:left w:val="none" w:sz="0" w:space="0" w:color="auto"/>
        <w:bottom w:val="none" w:sz="0" w:space="0" w:color="auto"/>
        <w:right w:val="none" w:sz="0" w:space="0" w:color="auto"/>
      </w:divBdr>
      <w:divsChild>
        <w:div w:id="1463039787">
          <w:marLeft w:val="0"/>
          <w:marRight w:val="0"/>
          <w:marTop w:val="0"/>
          <w:marBottom w:val="0"/>
          <w:divBdr>
            <w:top w:val="single" w:sz="2" w:space="0" w:color="auto"/>
            <w:left w:val="single" w:sz="2" w:space="0" w:color="auto"/>
            <w:bottom w:val="single" w:sz="2" w:space="0" w:color="auto"/>
            <w:right w:val="single" w:sz="2" w:space="0" w:color="auto"/>
          </w:divBdr>
          <w:divsChild>
            <w:div w:id="10331895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64507755">
      <w:bodyDiv w:val="1"/>
      <w:marLeft w:val="0"/>
      <w:marRight w:val="0"/>
      <w:marTop w:val="0"/>
      <w:marBottom w:val="0"/>
      <w:divBdr>
        <w:top w:val="none" w:sz="0" w:space="0" w:color="auto"/>
        <w:left w:val="none" w:sz="0" w:space="0" w:color="auto"/>
        <w:bottom w:val="none" w:sz="0" w:space="0" w:color="auto"/>
        <w:right w:val="none" w:sz="0" w:space="0" w:color="auto"/>
      </w:divBdr>
    </w:div>
    <w:div w:id="310258584">
      <w:bodyDiv w:val="1"/>
      <w:marLeft w:val="0"/>
      <w:marRight w:val="0"/>
      <w:marTop w:val="0"/>
      <w:marBottom w:val="0"/>
      <w:divBdr>
        <w:top w:val="none" w:sz="0" w:space="0" w:color="auto"/>
        <w:left w:val="none" w:sz="0" w:space="0" w:color="auto"/>
        <w:bottom w:val="none" w:sz="0" w:space="0" w:color="auto"/>
        <w:right w:val="none" w:sz="0" w:space="0" w:color="auto"/>
      </w:divBdr>
      <w:divsChild>
        <w:div w:id="1893810438">
          <w:marLeft w:val="0"/>
          <w:marRight w:val="0"/>
          <w:marTop w:val="0"/>
          <w:marBottom w:val="0"/>
          <w:divBdr>
            <w:top w:val="single" w:sz="2" w:space="0" w:color="auto"/>
            <w:left w:val="single" w:sz="2" w:space="0" w:color="auto"/>
            <w:bottom w:val="single" w:sz="2" w:space="0" w:color="auto"/>
            <w:right w:val="single" w:sz="2" w:space="0" w:color="auto"/>
          </w:divBdr>
          <w:divsChild>
            <w:div w:id="959072140">
              <w:marLeft w:val="0"/>
              <w:marRight w:val="0"/>
              <w:marTop w:val="0"/>
              <w:marBottom w:val="0"/>
              <w:divBdr>
                <w:top w:val="single" w:sz="2" w:space="0" w:color="auto"/>
                <w:left w:val="single" w:sz="2" w:space="0" w:color="auto"/>
                <w:bottom w:val="single" w:sz="2" w:space="0" w:color="auto"/>
                <w:right w:val="single" w:sz="2" w:space="0" w:color="auto"/>
              </w:divBdr>
              <w:divsChild>
                <w:div w:id="1926301191">
                  <w:marLeft w:val="0"/>
                  <w:marRight w:val="0"/>
                  <w:marTop w:val="0"/>
                  <w:marBottom w:val="0"/>
                  <w:divBdr>
                    <w:top w:val="single" w:sz="2" w:space="0" w:color="auto"/>
                    <w:left w:val="single" w:sz="2" w:space="0" w:color="auto"/>
                    <w:bottom w:val="single" w:sz="2" w:space="0" w:color="auto"/>
                    <w:right w:val="single" w:sz="2" w:space="0" w:color="auto"/>
                  </w:divBdr>
                  <w:divsChild>
                    <w:div w:id="1278172488">
                      <w:marLeft w:val="0"/>
                      <w:marRight w:val="0"/>
                      <w:marTop w:val="0"/>
                      <w:marBottom w:val="0"/>
                      <w:divBdr>
                        <w:top w:val="single" w:sz="2" w:space="0" w:color="auto"/>
                        <w:left w:val="single" w:sz="2" w:space="0" w:color="auto"/>
                        <w:bottom w:val="single" w:sz="2" w:space="0" w:color="auto"/>
                        <w:right w:val="single" w:sz="2" w:space="0" w:color="auto"/>
                      </w:divBdr>
                      <w:divsChild>
                        <w:div w:id="537663455">
                          <w:marLeft w:val="0"/>
                          <w:marRight w:val="0"/>
                          <w:marTop w:val="0"/>
                          <w:marBottom w:val="0"/>
                          <w:divBdr>
                            <w:top w:val="single" w:sz="2" w:space="0" w:color="auto"/>
                            <w:left w:val="single" w:sz="2" w:space="0" w:color="auto"/>
                            <w:bottom w:val="single" w:sz="2" w:space="0" w:color="auto"/>
                            <w:right w:val="single" w:sz="2" w:space="0" w:color="auto"/>
                          </w:divBdr>
                        </w:div>
                      </w:divsChild>
                    </w:div>
                    <w:div w:id="1565490304">
                      <w:marLeft w:val="0"/>
                      <w:marRight w:val="0"/>
                      <w:marTop w:val="0"/>
                      <w:marBottom w:val="0"/>
                      <w:divBdr>
                        <w:top w:val="single" w:sz="2" w:space="0" w:color="auto"/>
                        <w:left w:val="single" w:sz="2" w:space="0" w:color="auto"/>
                        <w:bottom w:val="single" w:sz="2" w:space="0" w:color="auto"/>
                        <w:right w:val="single" w:sz="2" w:space="0" w:color="auto"/>
                      </w:divBdr>
                      <w:divsChild>
                        <w:div w:id="750156868">
                          <w:marLeft w:val="0"/>
                          <w:marRight w:val="0"/>
                          <w:marTop w:val="0"/>
                          <w:marBottom w:val="0"/>
                          <w:divBdr>
                            <w:top w:val="single" w:sz="2" w:space="0" w:color="auto"/>
                            <w:left w:val="single" w:sz="2" w:space="0" w:color="auto"/>
                            <w:bottom w:val="single" w:sz="2" w:space="0" w:color="auto"/>
                            <w:right w:val="single" w:sz="2" w:space="0" w:color="auto"/>
                          </w:divBdr>
                        </w:div>
                      </w:divsChild>
                    </w:div>
                    <w:div w:id="295642038">
                      <w:marLeft w:val="0"/>
                      <w:marRight w:val="0"/>
                      <w:marTop w:val="0"/>
                      <w:marBottom w:val="0"/>
                      <w:divBdr>
                        <w:top w:val="single" w:sz="2" w:space="0" w:color="auto"/>
                        <w:left w:val="single" w:sz="2" w:space="0" w:color="auto"/>
                        <w:bottom w:val="single" w:sz="2" w:space="0" w:color="auto"/>
                        <w:right w:val="single" w:sz="2" w:space="0" w:color="auto"/>
                      </w:divBdr>
                      <w:divsChild>
                        <w:div w:id="2023630521">
                          <w:marLeft w:val="0"/>
                          <w:marRight w:val="0"/>
                          <w:marTop w:val="0"/>
                          <w:marBottom w:val="0"/>
                          <w:divBdr>
                            <w:top w:val="single" w:sz="2" w:space="0" w:color="auto"/>
                            <w:left w:val="single" w:sz="2" w:space="0" w:color="auto"/>
                            <w:bottom w:val="single" w:sz="2" w:space="0" w:color="auto"/>
                            <w:right w:val="single" w:sz="2" w:space="0" w:color="auto"/>
                          </w:divBdr>
                        </w:div>
                      </w:divsChild>
                    </w:div>
                    <w:div w:id="1083645030">
                      <w:marLeft w:val="0"/>
                      <w:marRight w:val="0"/>
                      <w:marTop w:val="0"/>
                      <w:marBottom w:val="0"/>
                      <w:divBdr>
                        <w:top w:val="single" w:sz="2" w:space="0" w:color="auto"/>
                        <w:left w:val="single" w:sz="2" w:space="0" w:color="auto"/>
                        <w:bottom w:val="single" w:sz="2" w:space="0" w:color="auto"/>
                        <w:right w:val="single" w:sz="2" w:space="0" w:color="auto"/>
                      </w:divBdr>
                      <w:divsChild>
                        <w:div w:id="5802168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13862425">
      <w:bodyDiv w:val="1"/>
      <w:marLeft w:val="0"/>
      <w:marRight w:val="0"/>
      <w:marTop w:val="0"/>
      <w:marBottom w:val="0"/>
      <w:divBdr>
        <w:top w:val="none" w:sz="0" w:space="0" w:color="auto"/>
        <w:left w:val="none" w:sz="0" w:space="0" w:color="auto"/>
        <w:bottom w:val="none" w:sz="0" w:space="0" w:color="auto"/>
        <w:right w:val="none" w:sz="0" w:space="0" w:color="auto"/>
      </w:divBdr>
    </w:div>
    <w:div w:id="418601036">
      <w:bodyDiv w:val="1"/>
      <w:marLeft w:val="0"/>
      <w:marRight w:val="0"/>
      <w:marTop w:val="0"/>
      <w:marBottom w:val="0"/>
      <w:divBdr>
        <w:top w:val="none" w:sz="0" w:space="0" w:color="auto"/>
        <w:left w:val="none" w:sz="0" w:space="0" w:color="auto"/>
        <w:bottom w:val="none" w:sz="0" w:space="0" w:color="auto"/>
        <w:right w:val="none" w:sz="0" w:space="0" w:color="auto"/>
      </w:divBdr>
    </w:div>
    <w:div w:id="464390019">
      <w:bodyDiv w:val="1"/>
      <w:marLeft w:val="0"/>
      <w:marRight w:val="0"/>
      <w:marTop w:val="0"/>
      <w:marBottom w:val="0"/>
      <w:divBdr>
        <w:top w:val="none" w:sz="0" w:space="0" w:color="auto"/>
        <w:left w:val="none" w:sz="0" w:space="0" w:color="auto"/>
        <w:bottom w:val="none" w:sz="0" w:space="0" w:color="auto"/>
        <w:right w:val="none" w:sz="0" w:space="0" w:color="auto"/>
      </w:divBdr>
    </w:div>
    <w:div w:id="471143056">
      <w:bodyDiv w:val="1"/>
      <w:marLeft w:val="0"/>
      <w:marRight w:val="0"/>
      <w:marTop w:val="0"/>
      <w:marBottom w:val="0"/>
      <w:divBdr>
        <w:top w:val="none" w:sz="0" w:space="0" w:color="auto"/>
        <w:left w:val="none" w:sz="0" w:space="0" w:color="auto"/>
        <w:bottom w:val="none" w:sz="0" w:space="0" w:color="auto"/>
        <w:right w:val="none" w:sz="0" w:space="0" w:color="auto"/>
      </w:divBdr>
    </w:div>
    <w:div w:id="490410933">
      <w:bodyDiv w:val="1"/>
      <w:marLeft w:val="0"/>
      <w:marRight w:val="0"/>
      <w:marTop w:val="0"/>
      <w:marBottom w:val="0"/>
      <w:divBdr>
        <w:top w:val="none" w:sz="0" w:space="0" w:color="auto"/>
        <w:left w:val="none" w:sz="0" w:space="0" w:color="auto"/>
        <w:bottom w:val="none" w:sz="0" w:space="0" w:color="auto"/>
        <w:right w:val="none" w:sz="0" w:space="0" w:color="auto"/>
      </w:divBdr>
    </w:div>
    <w:div w:id="581960246">
      <w:bodyDiv w:val="1"/>
      <w:marLeft w:val="0"/>
      <w:marRight w:val="0"/>
      <w:marTop w:val="0"/>
      <w:marBottom w:val="0"/>
      <w:divBdr>
        <w:top w:val="none" w:sz="0" w:space="0" w:color="auto"/>
        <w:left w:val="none" w:sz="0" w:space="0" w:color="auto"/>
        <w:bottom w:val="none" w:sz="0" w:space="0" w:color="auto"/>
        <w:right w:val="none" w:sz="0" w:space="0" w:color="auto"/>
      </w:divBdr>
    </w:div>
    <w:div w:id="643050446">
      <w:bodyDiv w:val="1"/>
      <w:marLeft w:val="0"/>
      <w:marRight w:val="0"/>
      <w:marTop w:val="0"/>
      <w:marBottom w:val="0"/>
      <w:divBdr>
        <w:top w:val="none" w:sz="0" w:space="0" w:color="auto"/>
        <w:left w:val="none" w:sz="0" w:space="0" w:color="auto"/>
        <w:bottom w:val="none" w:sz="0" w:space="0" w:color="auto"/>
        <w:right w:val="none" w:sz="0" w:space="0" w:color="auto"/>
      </w:divBdr>
      <w:divsChild>
        <w:div w:id="1591311380">
          <w:marLeft w:val="0"/>
          <w:marRight w:val="0"/>
          <w:marTop w:val="0"/>
          <w:marBottom w:val="0"/>
          <w:divBdr>
            <w:top w:val="single" w:sz="2" w:space="0" w:color="auto"/>
            <w:left w:val="single" w:sz="2" w:space="0" w:color="auto"/>
            <w:bottom w:val="single" w:sz="2" w:space="0" w:color="auto"/>
            <w:right w:val="single" w:sz="2" w:space="0" w:color="auto"/>
          </w:divBdr>
          <w:divsChild>
            <w:div w:id="818496449">
              <w:marLeft w:val="0"/>
              <w:marRight w:val="0"/>
              <w:marTop w:val="0"/>
              <w:marBottom w:val="0"/>
              <w:divBdr>
                <w:top w:val="single" w:sz="2" w:space="0" w:color="auto"/>
                <w:left w:val="single" w:sz="2" w:space="0" w:color="auto"/>
                <w:bottom w:val="single" w:sz="2" w:space="0" w:color="auto"/>
                <w:right w:val="single" w:sz="2" w:space="0" w:color="auto"/>
              </w:divBdr>
              <w:divsChild>
                <w:div w:id="2647304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95348143">
      <w:bodyDiv w:val="1"/>
      <w:marLeft w:val="0"/>
      <w:marRight w:val="0"/>
      <w:marTop w:val="0"/>
      <w:marBottom w:val="0"/>
      <w:divBdr>
        <w:top w:val="none" w:sz="0" w:space="0" w:color="auto"/>
        <w:left w:val="none" w:sz="0" w:space="0" w:color="auto"/>
        <w:bottom w:val="none" w:sz="0" w:space="0" w:color="auto"/>
        <w:right w:val="none" w:sz="0" w:space="0" w:color="auto"/>
      </w:divBdr>
    </w:div>
    <w:div w:id="745224825">
      <w:bodyDiv w:val="1"/>
      <w:marLeft w:val="0"/>
      <w:marRight w:val="0"/>
      <w:marTop w:val="0"/>
      <w:marBottom w:val="0"/>
      <w:divBdr>
        <w:top w:val="none" w:sz="0" w:space="0" w:color="auto"/>
        <w:left w:val="none" w:sz="0" w:space="0" w:color="auto"/>
        <w:bottom w:val="none" w:sz="0" w:space="0" w:color="auto"/>
        <w:right w:val="none" w:sz="0" w:space="0" w:color="auto"/>
      </w:divBdr>
    </w:div>
    <w:div w:id="893807020">
      <w:bodyDiv w:val="1"/>
      <w:marLeft w:val="0"/>
      <w:marRight w:val="0"/>
      <w:marTop w:val="0"/>
      <w:marBottom w:val="0"/>
      <w:divBdr>
        <w:top w:val="none" w:sz="0" w:space="0" w:color="auto"/>
        <w:left w:val="none" w:sz="0" w:space="0" w:color="auto"/>
        <w:bottom w:val="none" w:sz="0" w:space="0" w:color="auto"/>
        <w:right w:val="none" w:sz="0" w:space="0" w:color="auto"/>
      </w:divBdr>
    </w:div>
    <w:div w:id="950432312">
      <w:bodyDiv w:val="1"/>
      <w:marLeft w:val="0"/>
      <w:marRight w:val="0"/>
      <w:marTop w:val="0"/>
      <w:marBottom w:val="0"/>
      <w:divBdr>
        <w:top w:val="none" w:sz="0" w:space="0" w:color="auto"/>
        <w:left w:val="none" w:sz="0" w:space="0" w:color="auto"/>
        <w:bottom w:val="none" w:sz="0" w:space="0" w:color="auto"/>
        <w:right w:val="none" w:sz="0" w:space="0" w:color="auto"/>
      </w:divBdr>
    </w:div>
    <w:div w:id="1062098380">
      <w:bodyDiv w:val="1"/>
      <w:marLeft w:val="0"/>
      <w:marRight w:val="0"/>
      <w:marTop w:val="0"/>
      <w:marBottom w:val="0"/>
      <w:divBdr>
        <w:top w:val="none" w:sz="0" w:space="0" w:color="auto"/>
        <w:left w:val="none" w:sz="0" w:space="0" w:color="auto"/>
        <w:bottom w:val="none" w:sz="0" w:space="0" w:color="auto"/>
        <w:right w:val="none" w:sz="0" w:space="0" w:color="auto"/>
      </w:divBdr>
    </w:div>
    <w:div w:id="1206407571">
      <w:bodyDiv w:val="1"/>
      <w:marLeft w:val="0"/>
      <w:marRight w:val="0"/>
      <w:marTop w:val="0"/>
      <w:marBottom w:val="0"/>
      <w:divBdr>
        <w:top w:val="none" w:sz="0" w:space="0" w:color="auto"/>
        <w:left w:val="none" w:sz="0" w:space="0" w:color="auto"/>
        <w:bottom w:val="none" w:sz="0" w:space="0" w:color="auto"/>
        <w:right w:val="none" w:sz="0" w:space="0" w:color="auto"/>
      </w:divBdr>
    </w:div>
    <w:div w:id="1247567892">
      <w:bodyDiv w:val="1"/>
      <w:marLeft w:val="0"/>
      <w:marRight w:val="0"/>
      <w:marTop w:val="0"/>
      <w:marBottom w:val="0"/>
      <w:divBdr>
        <w:top w:val="none" w:sz="0" w:space="0" w:color="auto"/>
        <w:left w:val="none" w:sz="0" w:space="0" w:color="auto"/>
        <w:bottom w:val="none" w:sz="0" w:space="0" w:color="auto"/>
        <w:right w:val="none" w:sz="0" w:space="0" w:color="auto"/>
      </w:divBdr>
    </w:div>
    <w:div w:id="1285431606">
      <w:bodyDiv w:val="1"/>
      <w:marLeft w:val="0"/>
      <w:marRight w:val="0"/>
      <w:marTop w:val="0"/>
      <w:marBottom w:val="0"/>
      <w:divBdr>
        <w:top w:val="none" w:sz="0" w:space="0" w:color="auto"/>
        <w:left w:val="none" w:sz="0" w:space="0" w:color="auto"/>
        <w:bottom w:val="none" w:sz="0" w:space="0" w:color="auto"/>
        <w:right w:val="none" w:sz="0" w:space="0" w:color="auto"/>
      </w:divBdr>
    </w:div>
    <w:div w:id="1309044453">
      <w:bodyDiv w:val="1"/>
      <w:marLeft w:val="0"/>
      <w:marRight w:val="0"/>
      <w:marTop w:val="0"/>
      <w:marBottom w:val="0"/>
      <w:divBdr>
        <w:top w:val="none" w:sz="0" w:space="0" w:color="auto"/>
        <w:left w:val="none" w:sz="0" w:space="0" w:color="auto"/>
        <w:bottom w:val="none" w:sz="0" w:space="0" w:color="auto"/>
        <w:right w:val="none" w:sz="0" w:space="0" w:color="auto"/>
      </w:divBdr>
    </w:div>
    <w:div w:id="1389064277">
      <w:bodyDiv w:val="1"/>
      <w:marLeft w:val="0"/>
      <w:marRight w:val="0"/>
      <w:marTop w:val="0"/>
      <w:marBottom w:val="0"/>
      <w:divBdr>
        <w:top w:val="none" w:sz="0" w:space="0" w:color="auto"/>
        <w:left w:val="none" w:sz="0" w:space="0" w:color="auto"/>
        <w:bottom w:val="none" w:sz="0" w:space="0" w:color="auto"/>
        <w:right w:val="none" w:sz="0" w:space="0" w:color="auto"/>
      </w:divBdr>
    </w:div>
    <w:div w:id="1404596132">
      <w:bodyDiv w:val="1"/>
      <w:marLeft w:val="0"/>
      <w:marRight w:val="0"/>
      <w:marTop w:val="0"/>
      <w:marBottom w:val="0"/>
      <w:divBdr>
        <w:top w:val="none" w:sz="0" w:space="0" w:color="auto"/>
        <w:left w:val="none" w:sz="0" w:space="0" w:color="auto"/>
        <w:bottom w:val="none" w:sz="0" w:space="0" w:color="auto"/>
        <w:right w:val="none" w:sz="0" w:space="0" w:color="auto"/>
      </w:divBdr>
    </w:div>
    <w:div w:id="1502894311">
      <w:bodyDiv w:val="1"/>
      <w:marLeft w:val="0"/>
      <w:marRight w:val="0"/>
      <w:marTop w:val="0"/>
      <w:marBottom w:val="0"/>
      <w:divBdr>
        <w:top w:val="none" w:sz="0" w:space="0" w:color="auto"/>
        <w:left w:val="none" w:sz="0" w:space="0" w:color="auto"/>
        <w:bottom w:val="none" w:sz="0" w:space="0" w:color="auto"/>
        <w:right w:val="none" w:sz="0" w:space="0" w:color="auto"/>
      </w:divBdr>
    </w:div>
    <w:div w:id="1589655831">
      <w:bodyDiv w:val="1"/>
      <w:marLeft w:val="0"/>
      <w:marRight w:val="0"/>
      <w:marTop w:val="0"/>
      <w:marBottom w:val="0"/>
      <w:divBdr>
        <w:top w:val="none" w:sz="0" w:space="0" w:color="auto"/>
        <w:left w:val="none" w:sz="0" w:space="0" w:color="auto"/>
        <w:bottom w:val="none" w:sz="0" w:space="0" w:color="auto"/>
        <w:right w:val="none" w:sz="0" w:space="0" w:color="auto"/>
      </w:divBdr>
    </w:div>
    <w:div w:id="1707101476">
      <w:bodyDiv w:val="1"/>
      <w:marLeft w:val="0"/>
      <w:marRight w:val="0"/>
      <w:marTop w:val="0"/>
      <w:marBottom w:val="0"/>
      <w:divBdr>
        <w:top w:val="none" w:sz="0" w:space="0" w:color="auto"/>
        <w:left w:val="none" w:sz="0" w:space="0" w:color="auto"/>
        <w:bottom w:val="none" w:sz="0" w:space="0" w:color="auto"/>
        <w:right w:val="none" w:sz="0" w:space="0" w:color="auto"/>
      </w:divBdr>
    </w:div>
    <w:div w:id="1772125667">
      <w:bodyDiv w:val="1"/>
      <w:marLeft w:val="0"/>
      <w:marRight w:val="0"/>
      <w:marTop w:val="0"/>
      <w:marBottom w:val="0"/>
      <w:divBdr>
        <w:top w:val="none" w:sz="0" w:space="0" w:color="auto"/>
        <w:left w:val="none" w:sz="0" w:space="0" w:color="auto"/>
        <w:bottom w:val="none" w:sz="0" w:space="0" w:color="auto"/>
        <w:right w:val="none" w:sz="0" w:space="0" w:color="auto"/>
      </w:divBdr>
    </w:div>
    <w:div w:id="1833447205">
      <w:bodyDiv w:val="1"/>
      <w:marLeft w:val="0"/>
      <w:marRight w:val="0"/>
      <w:marTop w:val="0"/>
      <w:marBottom w:val="0"/>
      <w:divBdr>
        <w:top w:val="none" w:sz="0" w:space="0" w:color="auto"/>
        <w:left w:val="none" w:sz="0" w:space="0" w:color="auto"/>
        <w:bottom w:val="none" w:sz="0" w:space="0" w:color="auto"/>
        <w:right w:val="none" w:sz="0" w:space="0" w:color="auto"/>
      </w:divBdr>
    </w:div>
    <w:div w:id="1969387471">
      <w:bodyDiv w:val="1"/>
      <w:marLeft w:val="0"/>
      <w:marRight w:val="0"/>
      <w:marTop w:val="0"/>
      <w:marBottom w:val="0"/>
      <w:divBdr>
        <w:top w:val="none" w:sz="0" w:space="0" w:color="auto"/>
        <w:left w:val="none" w:sz="0" w:space="0" w:color="auto"/>
        <w:bottom w:val="none" w:sz="0" w:space="0" w:color="auto"/>
        <w:right w:val="none" w:sz="0" w:space="0" w:color="auto"/>
      </w:divBdr>
      <w:divsChild>
        <w:div w:id="34887634">
          <w:marLeft w:val="0"/>
          <w:marRight w:val="0"/>
          <w:marTop w:val="0"/>
          <w:marBottom w:val="0"/>
          <w:divBdr>
            <w:top w:val="single" w:sz="2" w:space="0" w:color="auto"/>
            <w:left w:val="single" w:sz="2" w:space="0" w:color="auto"/>
            <w:bottom w:val="single" w:sz="2" w:space="0" w:color="auto"/>
            <w:right w:val="single" w:sz="2" w:space="0" w:color="auto"/>
          </w:divBdr>
          <w:divsChild>
            <w:div w:id="445077043">
              <w:marLeft w:val="0"/>
              <w:marRight w:val="0"/>
              <w:marTop w:val="0"/>
              <w:marBottom w:val="0"/>
              <w:divBdr>
                <w:top w:val="single" w:sz="2" w:space="0" w:color="auto"/>
                <w:left w:val="single" w:sz="2" w:space="0" w:color="auto"/>
                <w:bottom w:val="single" w:sz="2" w:space="0" w:color="auto"/>
                <w:right w:val="single" w:sz="2" w:space="0" w:color="auto"/>
              </w:divBdr>
            </w:div>
          </w:divsChild>
        </w:div>
        <w:div w:id="626357936">
          <w:marLeft w:val="0"/>
          <w:marRight w:val="0"/>
          <w:marTop w:val="0"/>
          <w:marBottom w:val="0"/>
          <w:divBdr>
            <w:top w:val="single" w:sz="2" w:space="0" w:color="auto"/>
            <w:left w:val="single" w:sz="2" w:space="0" w:color="auto"/>
            <w:bottom w:val="single" w:sz="2" w:space="0" w:color="auto"/>
            <w:right w:val="single" w:sz="2" w:space="0" w:color="auto"/>
          </w:divBdr>
          <w:divsChild>
            <w:div w:id="7669213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86272020">
      <w:bodyDiv w:val="1"/>
      <w:marLeft w:val="0"/>
      <w:marRight w:val="0"/>
      <w:marTop w:val="0"/>
      <w:marBottom w:val="0"/>
      <w:divBdr>
        <w:top w:val="none" w:sz="0" w:space="0" w:color="auto"/>
        <w:left w:val="none" w:sz="0" w:space="0" w:color="auto"/>
        <w:bottom w:val="none" w:sz="0" w:space="0" w:color="auto"/>
        <w:right w:val="none" w:sz="0" w:space="0" w:color="auto"/>
      </w:divBdr>
    </w:div>
    <w:div w:id="2141529162">
      <w:bodyDiv w:val="1"/>
      <w:marLeft w:val="0"/>
      <w:marRight w:val="0"/>
      <w:marTop w:val="0"/>
      <w:marBottom w:val="0"/>
      <w:divBdr>
        <w:top w:val="none" w:sz="0" w:space="0" w:color="auto"/>
        <w:left w:val="none" w:sz="0" w:space="0" w:color="auto"/>
        <w:bottom w:val="none" w:sz="0" w:space="0" w:color="auto"/>
        <w:right w:val="none" w:sz="0" w:space="0" w:color="auto"/>
      </w:divBdr>
      <w:divsChild>
        <w:div w:id="830407852">
          <w:marLeft w:val="0"/>
          <w:marRight w:val="0"/>
          <w:marTop w:val="0"/>
          <w:marBottom w:val="0"/>
          <w:divBdr>
            <w:top w:val="none" w:sz="0" w:space="0" w:color="auto"/>
            <w:left w:val="none" w:sz="0" w:space="0" w:color="auto"/>
            <w:bottom w:val="none" w:sz="0" w:space="0" w:color="auto"/>
            <w:right w:val="none" w:sz="0" w:space="0" w:color="auto"/>
          </w:divBdr>
        </w:div>
        <w:div w:id="1360469656">
          <w:marLeft w:val="0"/>
          <w:marRight w:val="0"/>
          <w:marTop w:val="0"/>
          <w:marBottom w:val="0"/>
          <w:divBdr>
            <w:top w:val="none" w:sz="0" w:space="0" w:color="auto"/>
            <w:left w:val="none" w:sz="0" w:space="0" w:color="auto"/>
            <w:bottom w:val="none" w:sz="0" w:space="0" w:color="auto"/>
            <w:right w:val="none" w:sz="0" w:space="0" w:color="auto"/>
          </w:divBdr>
        </w:div>
        <w:div w:id="1239749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8E11-CC7D-7E45-BC5D-60CFB805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462</Words>
  <Characters>2728</Characters>
  <Application>Microsoft Office Word</Application>
  <DocSecurity>0</DocSecurity>
  <Lines>22</Lines>
  <Paragraphs>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3184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Šárka Lachoutová</cp:lastModifiedBy>
  <cp:revision>4</cp:revision>
  <dcterms:created xsi:type="dcterms:W3CDTF">2025-03-10T20:47:00Z</dcterms:created>
  <dcterms:modified xsi:type="dcterms:W3CDTF">2025-03-12T14:38:00Z</dcterms:modified>
  <cp:category/>
</cp:coreProperties>
</file>