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BEA5C8" w14:textId="77777777" w:rsidR="00430B9F" w:rsidRDefault="00430B9F">
      <w:pPr>
        <w:spacing w:line="240" w:lineRule="auto"/>
        <w:jc w:val="center"/>
        <w:rPr>
          <w:b/>
          <w:color w:val="000000"/>
          <w:sz w:val="28"/>
          <w:szCs w:val="28"/>
        </w:rPr>
      </w:pPr>
    </w:p>
    <w:p w14:paraId="53EAC538" w14:textId="77777777" w:rsidR="00430B9F" w:rsidRDefault="00000000">
      <w:pPr>
        <w:spacing w:line="240" w:lineRule="auto"/>
        <w:jc w:val="center"/>
        <w:rPr>
          <w:b/>
          <w:color w:val="000000"/>
          <w:sz w:val="28"/>
          <w:szCs w:val="28"/>
        </w:rPr>
      </w:pPr>
      <w:r>
        <w:rPr>
          <w:b/>
          <w:color w:val="000000"/>
          <w:sz w:val="28"/>
          <w:szCs w:val="28"/>
        </w:rPr>
        <w:t>Kolik plynu máme v zásobnících. Vystačí do konce topné sezóny? A bude příští rok dražší?</w:t>
      </w:r>
    </w:p>
    <w:p w14:paraId="709CCDD5" w14:textId="77777777" w:rsidR="00430B9F" w:rsidRDefault="00430B9F">
      <w:pPr>
        <w:spacing w:line="240" w:lineRule="auto"/>
        <w:rPr>
          <w:b/>
          <w:sz w:val="24"/>
          <w:szCs w:val="24"/>
        </w:rPr>
      </w:pPr>
    </w:p>
    <w:p w14:paraId="4A915213" w14:textId="55BEADB3" w:rsidR="00430B9F" w:rsidRDefault="00000000">
      <w:pPr>
        <w:rPr>
          <w:b/>
          <w:color w:val="000000"/>
          <w:sz w:val="20"/>
          <w:szCs w:val="20"/>
        </w:rPr>
      </w:pPr>
      <w:r>
        <w:rPr>
          <w:b/>
          <w:color w:val="000000"/>
          <w:sz w:val="20"/>
          <w:szCs w:val="20"/>
        </w:rPr>
        <w:t xml:space="preserve">Praha, </w:t>
      </w:r>
      <w:r w:rsidR="00902BB0">
        <w:rPr>
          <w:b/>
          <w:color w:val="000000"/>
          <w:sz w:val="20"/>
          <w:szCs w:val="20"/>
        </w:rPr>
        <w:t>20</w:t>
      </w:r>
      <w:r>
        <w:rPr>
          <w:b/>
          <w:color w:val="000000"/>
          <w:sz w:val="20"/>
          <w:szCs w:val="20"/>
        </w:rPr>
        <w:t>. února 2025 – Vystačí nám zásoby plynu na celou topnou sezónu? Tuto otázka si pokládá řada těch, kteří se v aktuální nepřehledné situaci alespoň trochu vyznají.  Protože bude zapotřebí doplňovat zásobníky nejen u nás, ale v celé Evropě, dá se očekávat, že ceny plynu budou příští topnou sezónu vyšší.</w:t>
      </w:r>
    </w:p>
    <w:p w14:paraId="440679BF" w14:textId="77777777" w:rsidR="00430B9F" w:rsidRDefault="00430B9F">
      <w:pPr>
        <w:rPr>
          <w:color w:val="000000"/>
          <w:sz w:val="20"/>
          <w:szCs w:val="20"/>
        </w:rPr>
      </w:pPr>
    </w:p>
    <w:p w14:paraId="47795BDE" w14:textId="77777777" w:rsidR="00430B9F" w:rsidRDefault="00000000">
      <w:pPr>
        <w:rPr>
          <w:sz w:val="20"/>
          <w:szCs w:val="20"/>
        </w:rPr>
      </w:pPr>
      <w:r>
        <w:rPr>
          <w:color w:val="000000"/>
          <w:sz w:val="20"/>
          <w:szCs w:val="20"/>
        </w:rPr>
        <w:t xml:space="preserve">„V tuto chvíli máme v zásobnících </w:t>
      </w:r>
      <w:r>
        <w:rPr>
          <w:sz w:val="20"/>
          <w:szCs w:val="20"/>
        </w:rPr>
        <w:t>asi</w:t>
      </w:r>
      <w:r>
        <w:rPr>
          <w:color w:val="000000"/>
          <w:sz w:val="20"/>
          <w:szCs w:val="20"/>
        </w:rPr>
        <w:t xml:space="preserve"> 1</w:t>
      </w:r>
      <w:r>
        <w:rPr>
          <w:sz w:val="20"/>
          <w:szCs w:val="20"/>
        </w:rPr>
        <w:t>3</w:t>
      </w:r>
      <w:r>
        <w:rPr>
          <w:color w:val="000000"/>
          <w:sz w:val="20"/>
          <w:szCs w:val="20"/>
        </w:rPr>
        <w:t xml:space="preserve"> tisíc gigawatt</w:t>
      </w:r>
      <w:r>
        <w:rPr>
          <w:sz w:val="20"/>
          <w:szCs w:val="20"/>
        </w:rPr>
        <w:t>hodin</w:t>
      </w:r>
      <w:r>
        <w:rPr>
          <w:color w:val="000000"/>
          <w:sz w:val="20"/>
          <w:szCs w:val="20"/>
        </w:rPr>
        <w:t xml:space="preserve"> (</w:t>
      </w:r>
      <w:proofErr w:type="spellStart"/>
      <w:r>
        <w:rPr>
          <w:color w:val="000000"/>
          <w:sz w:val="20"/>
          <w:szCs w:val="20"/>
        </w:rPr>
        <w:t>GWh</w:t>
      </w:r>
      <w:proofErr w:type="spellEnd"/>
      <w:r>
        <w:rPr>
          <w:color w:val="000000"/>
          <w:sz w:val="20"/>
          <w:szCs w:val="20"/>
        </w:rPr>
        <w:t xml:space="preserve">) plynu. Každý den k nám různými cestami „přiteče“ asi 200 </w:t>
      </w:r>
      <w:proofErr w:type="spellStart"/>
      <w:r>
        <w:rPr>
          <w:color w:val="000000"/>
          <w:sz w:val="20"/>
          <w:szCs w:val="20"/>
        </w:rPr>
        <w:t>GWh</w:t>
      </w:r>
      <w:proofErr w:type="spellEnd"/>
      <w:r>
        <w:rPr>
          <w:color w:val="000000"/>
          <w:sz w:val="20"/>
          <w:szCs w:val="20"/>
        </w:rPr>
        <w:t>, denní spotřeba naší země se ovšem v posledních dnech pohybuje výr</w:t>
      </w:r>
      <w:r>
        <w:rPr>
          <w:sz w:val="20"/>
          <w:szCs w:val="20"/>
        </w:rPr>
        <w:t>a</w:t>
      </w:r>
      <w:r>
        <w:rPr>
          <w:color w:val="000000"/>
          <w:sz w:val="20"/>
          <w:szCs w:val="20"/>
        </w:rPr>
        <w:t xml:space="preserve">zně nad 400 GW. Jednoduchá matematika tak říká, že spotřeba je </w:t>
      </w:r>
      <w:r>
        <w:rPr>
          <w:sz w:val="20"/>
          <w:szCs w:val="20"/>
        </w:rPr>
        <w:t>výrazně</w:t>
      </w:r>
      <w:r>
        <w:rPr>
          <w:color w:val="000000"/>
          <w:sz w:val="20"/>
          <w:szCs w:val="20"/>
        </w:rPr>
        <w:t xml:space="preserve"> větší než dodávka, takže přibližně </w:t>
      </w:r>
      <w:r>
        <w:rPr>
          <w:sz w:val="20"/>
          <w:szCs w:val="20"/>
        </w:rPr>
        <w:t>300</w:t>
      </w:r>
      <w:r>
        <w:rPr>
          <w:color w:val="000000"/>
          <w:sz w:val="20"/>
          <w:szCs w:val="20"/>
        </w:rPr>
        <w:t xml:space="preserve"> GW musíme každý den odčerpat ze zásobníků. Kdybychom pokračovali se stejnou spotřebou, zásob</w:t>
      </w:r>
      <w:r>
        <w:rPr>
          <w:sz w:val="20"/>
          <w:szCs w:val="20"/>
        </w:rPr>
        <w:t>y plynu</w:t>
      </w:r>
      <w:r>
        <w:rPr>
          <w:color w:val="000000"/>
          <w:sz w:val="20"/>
          <w:szCs w:val="20"/>
        </w:rPr>
        <w:t xml:space="preserve"> by vydrž</w:t>
      </w:r>
      <w:r>
        <w:rPr>
          <w:sz w:val="20"/>
          <w:szCs w:val="20"/>
        </w:rPr>
        <w:t>ely</w:t>
      </w:r>
      <w:r>
        <w:rPr>
          <w:color w:val="000000"/>
          <w:sz w:val="20"/>
          <w:szCs w:val="20"/>
        </w:rPr>
        <w:t xml:space="preserve"> </w:t>
      </w:r>
      <w:r>
        <w:rPr>
          <w:sz w:val="20"/>
          <w:szCs w:val="20"/>
        </w:rPr>
        <w:t>přibližně</w:t>
      </w:r>
      <w:r>
        <w:rPr>
          <w:color w:val="000000"/>
          <w:sz w:val="20"/>
          <w:szCs w:val="20"/>
        </w:rPr>
        <w:t xml:space="preserve"> </w:t>
      </w:r>
      <w:r>
        <w:rPr>
          <w:sz w:val="20"/>
          <w:szCs w:val="20"/>
        </w:rPr>
        <w:t>4</w:t>
      </w:r>
      <w:r>
        <w:rPr>
          <w:color w:val="000000"/>
          <w:sz w:val="20"/>
          <w:szCs w:val="20"/>
        </w:rPr>
        <w:t xml:space="preserve">0 dnů. To znamená </w:t>
      </w:r>
      <w:r>
        <w:rPr>
          <w:sz w:val="20"/>
          <w:szCs w:val="20"/>
        </w:rPr>
        <w:t>jen do konce března</w:t>
      </w:r>
      <w:r>
        <w:rPr>
          <w:color w:val="000000"/>
          <w:sz w:val="20"/>
          <w:szCs w:val="20"/>
        </w:rPr>
        <w:t>,“ říká Lukáš Kaňok</w:t>
      </w:r>
      <w:r>
        <w:rPr>
          <w:sz w:val="20"/>
          <w:szCs w:val="20"/>
        </w:rPr>
        <w:t xml:space="preserve"> ze společnosti Kalkulátor.cz.</w:t>
      </w:r>
    </w:p>
    <w:p w14:paraId="15C6386E" w14:textId="77777777" w:rsidR="00430B9F" w:rsidRDefault="00430B9F">
      <w:pPr>
        <w:rPr>
          <w:sz w:val="20"/>
          <w:szCs w:val="20"/>
        </w:rPr>
      </w:pPr>
    </w:p>
    <w:p w14:paraId="706F9333" w14:textId="77777777" w:rsidR="00430B9F" w:rsidRDefault="00000000">
      <w:pPr>
        <w:rPr>
          <w:color w:val="000000"/>
          <w:sz w:val="20"/>
          <w:szCs w:val="20"/>
        </w:rPr>
      </w:pPr>
      <w:r>
        <w:rPr>
          <w:color w:val="000000"/>
          <w:sz w:val="20"/>
          <w:szCs w:val="20"/>
        </w:rPr>
        <w:t xml:space="preserve">Výše uvedený scénář </w:t>
      </w:r>
      <w:r>
        <w:rPr>
          <w:sz w:val="20"/>
          <w:szCs w:val="20"/>
        </w:rPr>
        <w:t>by samozřejmě</w:t>
      </w:r>
      <w:r>
        <w:rPr>
          <w:color w:val="000000"/>
          <w:sz w:val="20"/>
          <w:szCs w:val="20"/>
        </w:rPr>
        <w:t xml:space="preserve"> plati</w:t>
      </w:r>
      <w:r>
        <w:rPr>
          <w:sz w:val="20"/>
          <w:szCs w:val="20"/>
        </w:rPr>
        <w:t>l</w:t>
      </w:r>
      <w:r>
        <w:rPr>
          <w:color w:val="000000"/>
          <w:sz w:val="20"/>
          <w:szCs w:val="20"/>
        </w:rPr>
        <w:t xml:space="preserve"> jen v případě, že </w:t>
      </w:r>
      <w:r>
        <w:rPr>
          <w:sz w:val="20"/>
          <w:szCs w:val="20"/>
        </w:rPr>
        <w:t>by</w:t>
      </w:r>
      <w:r>
        <w:rPr>
          <w:color w:val="000000"/>
          <w:sz w:val="20"/>
          <w:szCs w:val="20"/>
        </w:rPr>
        <w:t xml:space="preserve"> panov</w:t>
      </w:r>
      <w:r>
        <w:rPr>
          <w:sz w:val="20"/>
          <w:szCs w:val="20"/>
        </w:rPr>
        <w:t>aly</w:t>
      </w:r>
      <w:r>
        <w:rPr>
          <w:color w:val="000000"/>
          <w:sz w:val="20"/>
          <w:szCs w:val="20"/>
        </w:rPr>
        <w:t xml:space="preserve"> podobné teploty jako nyn</w:t>
      </w:r>
      <w:r>
        <w:rPr>
          <w:sz w:val="20"/>
          <w:szCs w:val="20"/>
        </w:rPr>
        <w:t>í</w:t>
      </w:r>
      <w:r>
        <w:rPr>
          <w:color w:val="000000"/>
          <w:sz w:val="20"/>
          <w:szCs w:val="20"/>
        </w:rPr>
        <w:t>, proudi</w:t>
      </w:r>
      <w:r>
        <w:rPr>
          <w:sz w:val="20"/>
          <w:szCs w:val="20"/>
        </w:rPr>
        <w:t xml:space="preserve">lo by k nám </w:t>
      </w:r>
      <w:r>
        <w:rPr>
          <w:color w:val="000000"/>
          <w:sz w:val="20"/>
          <w:szCs w:val="20"/>
        </w:rPr>
        <w:t>stejné množství plynu jako dosud a nezměn</w:t>
      </w:r>
      <w:r>
        <w:rPr>
          <w:sz w:val="20"/>
          <w:szCs w:val="20"/>
        </w:rPr>
        <w:t>ila by</w:t>
      </w:r>
      <w:r>
        <w:rPr>
          <w:color w:val="000000"/>
          <w:sz w:val="20"/>
          <w:szCs w:val="20"/>
        </w:rPr>
        <w:t xml:space="preserve"> se spotřeba domácností ani podniků. Samozřejmě pokud bude </w:t>
      </w:r>
      <w:r>
        <w:rPr>
          <w:sz w:val="20"/>
          <w:szCs w:val="20"/>
        </w:rPr>
        <w:t>v březnu</w:t>
      </w:r>
      <w:r>
        <w:rPr>
          <w:color w:val="000000"/>
          <w:sz w:val="20"/>
          <w:szCs w:val="20"/>
        </w:rPr>
        <w:t xml:space="preserve"> teplo a přestaneme tak moc topit, žádné drama se konat nebude a plyn nám nedojde. Může ovšem nastat i opačná situace, tedy že </w:t>
      </w:r>
      <w:r>
        <w:rPr>
          <w:sz w:val="20"/>
          <w:szCs w:val="20"/>
        </w:rPr>
        <w:t>zima bude pokračovat</w:t>
      </w:r>
      <w:r>
        <w:rPr>
          <w:color w:val="000000"/>
          <w:sz w:val="20"/>
          <w:szCs w:val="20"/>
        </w:rPr>
        <w:t>. Právě nyní máme noční teploty v celé republice kolem - 10 až 15 °C a minusové jsou i teploty během dne. Má se sice oteplovat, ale pořád se bavíme o zimním počasí, teploty v noci ještě nějakou dobu budou pod nulou či jen velmi mírně nad ní.</w:t>
      </w:r>
    </w:p>
    <w:p w14:paraId="036EF10F" w14:textId="77777777" w:rsidR="00430B9F" w:rsidRDefault="00430B9F">
      <w:pPr>
        <w:rPr>
          <w:color w:val="000000"/>
          <w:sz w:val="20"/>
          <w:szCs w:val="20"/>
        </w:rPr>
      </w:pPr>
    </w:p>
    <w:p w14:paraId="522284B8" w14:textId="77777777" w:rsidR="00430B9F" w:rsidRDefault="00000000">
      <w:pPr>
        <w:rPr>
          <w:color w:val="000000"/>
          <w:sz w:val="20"/>
          <w:szCs w:val="20"/>
        </w:rPr>
      </w:pPr>
      <w:r>
        <w:rPr>
          <w:color w:val="000000"/>
          <w:sz w:val="20"/>
          <w:szCs w:val="20"/>
        </w:rPr>
        <w:t xml:space="preserve">Počasí neovlivníme, takže je třeba hledat jiná řešení. Existují konkrétně dvě – buď snížíme spotřebu, nebo zvýšíme dovoz. Větší dovoz se přirozeně zdá být tím jednodušším řešením. Bohužel ve skutečnosti to tak snadné není. Do Česka vedou velmi zjednodušeně dvě cesty plynu. První je z Ruska přes Ukrajinu. To je ta cesta, která se zavřela, protože nechceme podporovat Rusko, což je správné rozhodnutí. </w:t>
      </w:r>
    </w:p>
    <w:p w14:paraId="114A707F" w14:textId="77777777" w:rsidR="00430B9F" w:rsidRDefault="00430B9F">
      <w:pPr>
        <w:rPr>
          <w:color w:val="000000"/>
          <w:sz w:val="20"/>
          <w:szCs w:val="20"/>
        </w:rPr>
      </w:pPr>
    </w:p>
    <w:p w14:paraId="6FCA6FF5" w14:textId="77777777" w:rsidR="00430B9F" w:rsidRDefault="00000000">
      <w:pPr>
        <w:rPr>
          <w:sz w:val="20"/>
          <w:szCs w:val="20"/>
        </w:rPr>
      </w:pPr>
      <w:r>
        <w:rPr>
          <w:color w:val="000000"/>
          <w:sz w:val="20"/>
          <w:szCs w:val="20"/>
        </w:rPr>
        <w:t>„Zbývá nám tedy druhá cesta, která do Česka prochází přes Německo. Jenže to je trasa, kterou využívají i jiné státy – a v mnohem větším rozsahu než my. Němci totiž řeší úplně stejnou situaci. Také mají méně plynu než v předchozích letech a chladnější zimu. Navíc v Německu teď trochu méně foukal vítr a svítilo slunce, takže se plyn musel používat pro výrobu elektřiny víc než v předchozích zimách. To způsobilo pokles zásob. A když plyn potřebují všichni, přicházejí na řadu peníze. Zkrátka kdo za plyn víc zaplatí, ten ho bude mít,“ říká Lukáš Kaňok</w:t>
      </w:r>
      <w:r>
        <w:rPr>
          <w:sz w:val="20"/>
          <w:szCs w:val="20"/>
        </w:rPr>
        <w:t xml:space="preserve"> ze společnosti Kalkulátor.cz.</w:t>
      </w:r>
    </w:p>
    <w:p w14:paraId="4435F035" w14:textId="77777777" w:rsidR="00430B9F" w:rsidRDefault="00430B9F">
      <w:pPr>
        <w:rPr>
          <w:color w:val="000000"/>
          <w:sz w:val="20"/>
          <w:szCs w:val="20"/>
        </w:rPr>
      </w:pPr>
    </w:p>
    <w:p w14:paraId="644CF1CD" w14:textId="77777777" w:rsidR="00430B9F" w:rsidRDefault="00000000">
      <w:pPr>
        <w:rPr>
          <w:color w:val="000000"/>
          <w:sz w:val="20"/>
          <w:szCs w:val="20"/>
        </w:rPr>
      </w:pPr>
      <w:r>
        <w:rPr>
          <w:color w:val="000000"/>
          <w:sz w:val="20"/>
          <w:szCs w:val="20"/>
        </w:rPr>
        <w:t>Druhým řešením je tedy snížení spotřeby. Pokud nastane krizová situace (tedy bude dlouhá zima a nám skutečně začnou docházet zásoby), může přijít vláda a začít cíleně omezovat spotřebu. V první řadě se omezují největší podniky s největší spotřebou. Domácnosti, nemocnice, úřady a další subjekty pak budou mít plynu dost a omezování spotřeby je nezasáhne. Jenže někdo by musel udělat to velmi nepopulární rozhodnutí s obrovským dopadem na ekonomiku naší země.</w:t>
      </w:r>
    </w:p>
    <w:p w14:paraId="76E5296D" w14:textId="77777777" w:rsidR="00430B9F" w:rsidRDefault="00430B9F">
      <w:pPr>
        <w:rPr>
          <w:color w:val="000000"/>
          <w:sz w:val="20"/>
          <w:szCs w:val="20"/>
        </w:rPr>
      </w:pPr>
    </w:p>
    <w:p w14:paraId="50732046" w14:textId="77777777" w:rsidR="00430B9F" w:rsidRDefault="00000000">
      <w:pPr>
        <w:rPr>
          <w:color w:val="000000"/>
          <w:sz w:val="20"/>
          <w:szCs w:val="20"/>
        </w:rPr>
      </w:pPr>
      <w:r>
        <w:rPr>
          <w:color w:val="000000"/>
          <w:sz w:val="20"/>
          <w:szCs w:val="20"/>
        </w:rPr>
        <w:t xml:space="preserve">Nejdůležitějším faktorem tak v tuto chvíli zůstává počasí. Proto je třeba sledovat predikce a aktuální spotřebu, abychom věděli, jak jsme na tom. Výhled v tuto chvíli není úplně nejlepší, protože i když zima skončí dřív, bude třeba zase naplnit zásobníky, abychom je měli plné do příští topné sezóny. A to bude muset udělat celá Evropa. </w:t>
      </w:r>
    </w:p>
    <w:p w14:paraId="6BAA0A00" w14:textId="77777777" w:rsidR="00430B9F" w:rsidRDefault="00430B9F">
      <w:pPr>
        <w:rPr>
          <w:color w:val="000000"/>
          <w:sz w:val="20"/>
          <w:szCs w:val="20"/>
        </w:rPr>
      </w:pPr>
    </w:p>
    <w:p w14:paraId="754E8367" w14:textId="11CE2734" w:rsidR="00430B9F" w:rsidRDefault="00000000">
      <w:pPr>
        <w:rPr>
          <w:sz w:val="20"/>
          <w:szCs w:val="20"/>
        </w:rPr>
      </w:pPr>
      <w:r>
        <w:rPr>
          <w:color w:val="000000"/>
          <w:sz w:val="20"/>
          <w:szCs w:val="20"/>
        </w:rPr>
        <w:t xml:space="preserve">„Potýkáme se přitom nejen s omezenými dodávkami, ale také s vyšší cenou, protože jak zkapalněný LNG, tak i jakýkoli jiný plyn je mnohem dražší než ten ruský, který k nám minulé roky </w:t>
      </w:r>
      <w:r>
        <w:rPr>
          <w:sz w:val="20"/>
          <w:szCs w:val="20"/>
        </w:rPr>
        <w:t>proudil přes Ukrajinu</w:t>
      </w:r>
      <w:r>
        <w:rPr>
          <w:color w:val="000000"/>
          <w:sz w:val="20"/>
          <w:szCs w:val="20"/>
        </w:rPr>
        <w:t xml:space="preserve">. To všechno přirozeně znamená rostoucí náklady i pro běžné spotřebitele. Proto se teď </w:t>
      </w:r>
      <w:r>
        <w:rPr>
          <w:color w:val="000000"/>
          <w:sz w:val="20"/>
          <w:szCs w:val="20"/>
        </w:rPr>
        <w:lastRenderedPageBreak/>
        <w:t>vyplatí fixovat. Ideálně co nejdřív</w:t>
      </w:r>
      <w:r>
        <w:rPr>
          <w:sz w:val="20"/>
          <w:szCs w:val="20"/>
        </w:rPr>
        <w:t>e, dokud mají dodavatelé nakoupeno za loňské ceny</w:t>
      </w:r>
      <w:r>
        <w:rPr>
          <w:color w:val="000000"/>
          <w:sz w:val="20"/>
          <w:szCs w:val="20"/>
        </w:rPr>
        <w:t>. Novou smlouvu mohou zákazníci uzavřít už půl roku před koncem té stávající, proto se nevyplatí čekat,“ říká Lukáš Kaňok</w:t>
      </w:r>
      <w:r>
        <w:rPr>
          <w:sz w:val="20"/>
          <w:szCs w:val="20"/>
        </w:rPr>
        <w:t xml:space="preserve"> </w:t>
      </w:r>
      <w:r w:rsidR="00FF40E3">
        <w:rPr>
          <w:sz w:val="20"/>
          <w:szCs w:val="20"/>
        </w:rPr>
        <w:t>z</w:t>
      </w:r>
      <w:r>
        <w:rPr>
          <w:sz w:val="20"/>
          <w:szCs w:val="20"/>
        </w:rPr>
        <w:t xml:space="preserve"> Kalkulátor.cz.</w:t>
      </w:r>
    </w:p>
    <w:p w14:paraId="60140BB7" w14:textId="77777777" w:rsidR="00430B9F" w:rsidRDefault="00430B9F">
      <w:pPr>
        <w:rPr>
          <w:sz w:val="20"/>
          <w:szCs w:val="20"/>
        </w:rPr>
      </w:pPr>
    </w:p>
    <w:p w14:paraId="7C124AB6" w14:textId="7170BE16" w:rsidR="00430B9F" w:rsidRDefault="004525B7" w:rsidP="004525B7">
      <w:pPr>
        <w:rPr>
          <w:sz w:val="20"/>
          <w:szCs w:val="20"/>
        </w:rPr>
      </w:pPr>
      <w:r w:rsidRPr="004525B7">
        <w:rPr>
          <w:sz w:val="20"/>
          <w:szCs w:val="20"/>
        </w:rPr>
        <w:t>Stručné shrnutí to nejdůležitějšího: protože bude zapotřebí doplňovat zásobníky nejen u nás, ale v celé Evropě, dá se očekávat, že cena plynu bude růst.</w:t>
      </w:r>
      <w:r>
        <w:rPr>
          <w:sz w:val="20"/>
          <w:szCs w:val="20"/>
        </w:rPr>
        <w:t xml:space="preserve"> </w:t>
      </w:r>
      <w:r w:rsidRPr="004525B7">
        <w:rPr>
          <w:sz w:val="20"/>
          <w:szCs w:val="20"/>
        </w:rPr>
        <w:t>Zároveň je potřeba počítat s tím, že dojde i ke zdražení elektřiny, protože pro její výrobu se právě plyn používá a bude se používat stále více.</w:t>
      </w:r>
    </w:p>
    <w:p w14:paraId="61CB800B" w14:textId="77777777" w:rsidR="004525B7" w:rsidRDefault="004525B7" w:rsidP="004525B7">
      <w:pPr>
        <w:rPr>
          <w:sz w:val="20"/>
          <w:szCs w:val="20"/>
        </w:rPr>
      </w:pPr>
    </w:p>
    <w:p w14:paraId="1E4D3280" w14:textId="10F65C27" w:rsidR="004525B7" w:rsidRDefault="004525B7" w:rsidP="004525B7">
      <w:pPr>
        <w:rPr>
          <w:sz w:val="20"/>
          <w:szCs w:val="20"/>
        </w:rPr>
      </w:pPr>
    </w:p>
    <w:sectPr w:rsidR="004525B7">
      <w:headerReference w:type="default" r:id="rId7"/>
      <w:footerReference w:type="default" r:id="rId8"/>
      <w:pgSz w:w="11909" w:h="16834"/>
      <w:pgMar w:top="1440" w:right="1440" w:bottom="1440" w:left="1417"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2955D" w14:textId="77777777" w:rsidR="005E3C25" w:rsidRDefault="005E3C25">
      <w:pPr>
        <w:spacing w:line="240" w:lineRule="auto"/>
      </w:pPr>
      <w:r>
        <w:separator/>
      </w:r>
    </w:p>
  </w:endnote>
  <w:endnote w:type="continuationSeparator" w:id="0">
    <w:p w14:paraId="51B4356D" w14:textId="77777777" w:rsidR="005E3C25" w:rsidRDefault="005E3C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A4860" w14:textId="77777777" w:rsidR="00430B9F" w:rsidRDefault="00430B9F">
    <w:pPr>
      <w:pBdr>
        <w:top w:val="nil"/>
        <w:left w:val="nil"/>
        <w:bottom w:val="nil"/>
        <w:right w:val="nil"/>
        <w:between w:val="nil"/>
      </w:pBdr>
      <w:tabs>
        <w:tab w:val="center" w:pos="4536"/>
        <w:tab w:val="right" w:pos="9072"/>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952186" w14:textId="77777777" w:rsidR="005E3C25" w:rsidRDefault="005E3C25">
      <w:pPr>
        <w:spacing w:line="240" w:lineRule="auto"/>
      </w:pPr>
      <w:r>
        <w:separator/>
      </w:r>
    </w:p>
  </w:footnote>
  <w:footnote w:type="continuationSeparator" w:id="0">
    <w:p w14:paraId="6A3C4B6B" w14:textId="77777777" w:rsidR="005E3C25" w:rsidRDefault="005E3C2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5E649" w14:textId="77777777" w:rsidR="00430B9F" w:rsidRDefault="00000000">
    <w:pPr>
      <w:pBdr>
        <w:top w:val="nil"/>
        <w:left w:val="nil"/>
        <w:bottom w:val="nil"/>
        <w:right w:val="nil"/>
        <w:between w:val="nil"/>
      </w:pBdr>
      <w:tabs>
        <w:tab w:val="center" w:pos="4536"/>
        <w:tab w:val="right" w:pos="9072"/>
      </w:tabs>
      <w:spacing w:line="240" w:lineRule="auto"/>
      <w:jc w:val="right"/>
      <w:rPr>
        <w:color w:val="000000"/>
      </w:rPr>
    </w:pPr>
    <w:r>
      <w:rPr>
        <w:noProof/>
        <w:color w:val="000000"/>
      </w:rPr>
      <w:drawing>
        <wp:inline distT="0" distB="0" distL="114300" distR="114300" wp14:anchorId="3EDED9C8" wp14:editId="0655A4BA">
          <wp:extent cx="1514475" cy="542687"/>
          <wp:effectExtent l="0" t="0" r="0" b="0"/>
          <wp:docPr id="80624171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14475" cy="542687"/>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8"/>
  <w:doNotDisplayPageBoundarie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0B9F"/>
    <w:rsid w:val="00430B9F"/>
    <w:rsid w:val="004525B7"/>
    <w:rsid w:val="005E3C25"/>
    <w:rsid w:val="00867486"/>
    <w:rsid w:val="00902BB0"/>
    <w:rsid w:val="00FF40E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0E5184A3"/>
  <w15:docId w15:val="{359D97B1-B24C-374B-85CD-A82B5DEC6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cs-CZ"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semiHidden/>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30">
    <w:name w:val="Table Normal3"/>
    <w:tblPr>
      <w:tblCellMar>
        <w:top w:w="0" w:type="dxa"/>
        <w:left w:w="0" w:type="dxa"/>
        <w:bottom w:w="0" w:type="dxa"/>
        <w:right w:w="0" w:type="dxa"/>
      </w:tblCellMar>
    </w:tblPr>
  </w:style>
  <w:style w:type="table" w:customStyle="1" w:styleId="TableNormal20">
    <w:name w:val="Table Normal2"/>
    <w:tblPr>
      <w:tblCellMar>
        <w:top w:w="0" w:type="dxa"/>
        <w:left w:w="0" w:type="dxa"/>
        <w:bottom w:w="0" w:type="dxa"/>
        <w:right w:w="0" w:type="dxa"/>
      </w:tblCellMar>
    </w:tblPr>
  </w:style>
  <w:style w:type="table" w:customStyle="1" w:styleId="TableNormal10">
    <w:name w:val="Table Normal1"/>
    <w:tblPr>
      <w:tblCellMar>
        <w:top w:w="0" w:type="dxa"/>
        <w:left w:w="0" w:type="dxa"/>
        <w:bottom w:w="0" w:type="dxa"/>
        <w:right w:w="0" w:type="dxa"/>
      </w:tblCellMar>
    </w:tblPr>
  </w:style>
  <w:style w:type="paragraph" w:styleId="Podnadpis">
    <w:name w:val="Subtitle"/>
    <w:basedOn w:val="Normln"/>
    <w:next w:val="Normln"/>
    <w:uiPriority w:val="11"/>
    <w:qFormat/>
    <w:pPr>
      <w:keepNext/>
      <w:keepLines/>
      <w:spacing w:after="320"/>
    </w:pPr>
    <w:rPr>
      <w:color w:val="666666"/>
      <w:sz w:val="30"/>
      <w:szCs w:val="30"/>
    </w:rPr>
  </w:style>
  <w:style w:type="table" w:customStyle="1" w:styleId="2">
    <w:name w:val="2"/>
    <w:basedOn w:val="TableNormal10"/>
    <w:tblPr>
      <w:tblStyleRowBandSize w:val="1"/>
      <w:tblStyleColBandSize w:val="1"/>
      <w:tblCellMar>
        <w:top w:w="100" w:type="dxa"/>
        <w:left w:w="100" w:type="dxa"/>
        <w:bottom w:w="100" w:type="dxa"/>
        <w:right w:w="100" w:type="dxa"/>
      </w:tblCellMar>
    </w:tblPr>
  </w:style>
  <w:style w:type="table" w:customStyle="1" w:styleId="1">
    <w:name w:val="1"/>
    <w:basedOn w:val="TableNormal10"/>
    <w:tblPr>
      <w:tblStyleRowBandSize w:val="1"/>
      <w:tblStyleColBandSize w:val="1"/>
      <w:tblCellMar>
        <w:top w:w="100" w:type="dxa"/>
        <w:left w:w="100" w:type="dxa"/>
        <w:bottom w:w="100" w:type="dxa"/>
        <w:right w:w="100" w:type="dxa"/>
      </w:tblCellMar>
    </w:tblPr>
  </w:style>
  <w:style w:type="paragraph" w:styleId="Revize">
    <w:name w:val="Revision"/>
    <w:hidden/>
    <w:uiPriority w:val="99"/>
    <w:semiHidden/>
    <w:rsid w:val="00A10B5F"/>
    <w:pPr>
      <w:spacing w:line="240" w:lineRule="auto"/>
    </w:pPr>
  </w:style>
  <w:style w:type="character" w:styleId="Odkaznakoment">
    <w:name w:val="annotation reference"/>
    <w:basedOn w:val="Standardnpsmoodstavce"/>
    <w:uiPriority w:val="99"/>
    <w:semiHidden/>
    <w:unhideWhenUsed/>
    <w:rsid w:val="00A10B5F"/>
    <w:rPr>
      <w:sz w:val="16"/>
      <w:szCs w:val="16"/>
    </w:rPr>
  </w:style>
  <w:style w:type="paragraph" w:styleId="Textkomente">
    <w:name w:val="annotation text"/>
    <w:basedOn w:val="Normln"/>
    <w:link w:val="TextkomenteChar"/>
    <w:uiPriority w:val="99"/>
    <w:unhideWhenUsed/>
    <w:rsid w:val="00A10B5F"/>
    <w:pPr>
      <w:spacing w:line="240" w:lineRule="auto"/>
    </w:pPr>
    <w:rPr>
      <w:sz w:val="20"/>
      <w:szCs w:val="20"/>
    </w:rPr>
  </w:style>
  <w:style w:type="character" w:customStyle="1" w:styleId="TextkomenteChar">
    <w:name w:val="Text komentáře Char"/>
    <w:basedOn w:val="Standardnpsmoodstavce"/>
    <w:link w:val="Textkomente"/>
    <w:uiPriority w:val="99"/>
    <w:rsid w:val="00A10B5F"/>
    <w:rPr>
      <w:sz w:val="20"/>
      <w:szCs w:val="20"/>
    </w:rPr>
  </w:style>
  <w:style w:type="paragraph" w:styleId="Pedmtkomente">
    <w:name w:val="annotation subject"/>
    <w:basedOn w:val="Textkomente"/>
    <w:next w:val="Textkomente"/>
    <w:link w:val="PedmtkomenteChar"/>
    <w:uiPriority w:val="99"/>
    <w:semiHidden/>
    <w:unhideWhenUsed/>
    <w:rsid w:val="00A10B5F"/>
    <w:rPr>
      <w:b/>
      <w:bCs/>
    </w:rPr>
  </w:style>
  <w:style w:type="character" w:customStyle="1" w:styleId="PedmtkomenteChar">
    <w:name w:val="Předmět komentáře Char"/>
    <w:basedOn w:val="TextkomenteChar"/>
    <w:link w:val="Pedmtkomente"/>
    <w:uiPriority w:val="99"/>
    <w:semiHidden/>
    <w:rsid w:val="00A10B5F"/>
    <w:rPr>
      <w:b/>
      <w:bCs/>
      <w:sz w:val="20"/>
      <w:szCs w:val="20"/>
    </w:rPr>
  </w:style>
  <w:style w:type="paragraph" w:customStyle="1" w:styleId="Normal0">
    <w:name w:val="Normal0"/>
    <w:basedOn w:val="Normln"/>
    <w:uiPriority w:val="1"/>
    <w:qFormat/>
    <w:rsid w:val="60F690BA"/>
  </w:style>
  <w:style w:type="table" w:styleId="Mkatabulky">
    <w:name w:val="Table Grid"/>
    <w:basedOn w:val="Normlntabulka"/>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Odstavecseseznamem">
    <w:name w:val="List Paragraph"/>
    <w:basedOn w:val="Normln"/>
    <w:uiPriority w:val="34"/>
    <w:qFormat/>
    <w:pPr>
      <w:ind w:left="720"/>
      <w:contextualSpacing/>
    </w:pPr>
  </w:style>
  <w:style w:type="paragraph" w:styleId="Zhlav">
    <w:name w:val="header"/>
    <w:basedOn w:val="Normln"/>
    <w:link w:val="ZhlavChar"/>
    <w:uiPriority w:val="99"/>
    <w:unhideWhenUsed/>
    <w:rsid w:val="00D82DD4"/>
    <w:pPr>
      <w:tabs>
        <w:tab w:val="center" w:pos="4536"/>
        <w:tab w:val="right" w:pos="9072"/>
      </w:tabs>
      <w:spacing w:line="240" w:lineRule="auto"/>
    </w:pPr>
  </w:style>
  <w:style w:type="character" w:customStyle="1" w:styleId="ZhlavChar">
    <w:name w:val="Záhlaví Char"/>
    <w:basedOn w:val="Standardnpsmoodstavce"/>
    <w:link w:val="Zhlav"/>
    <w:uiPriority w:val="99"/>
    <w:rsid w:val="00D82DD4"/>
  </w:style>
  <w:style w:type="paragraph" w:styleId="Zpat">
    <w:name w:val="footer"/>
    <w:basedOn w:val="Normln"/>
    <w:link w:val="ZpatChar"/>
    <w:uiPriority w:val="99"/>
    <w:unhideWhenUsed/>
    <w:rsid w:val="00D82DD4"/>
    <w:pPr>
      <w:tabs>
        <w:tab w:val="center" w:pos="4536"/>
        <w:tab w:val="right" w:pos="9072"/>
      </w:tabs>
      <w:spacing w:line="240" w:lineRule="auto"/>
    </w:pPr>
  </w:style>
  <w:style w:type="character" w:customStyle="1" w:styleId="ZpatChar">
    <w:name w:val="Zápatí Char"/>
    <w:basedOn w:val="Standardnpsmoodstavce"/>
    <w:link w:val="Zpat"/>
    <w:uiPriority w:val="99"/>
    <w:rsid w:val="00D82DD4"/>
  </w:style>
  <w:style w:type="character" w:customStyle="1" w:styleId="apple-converted-space">
    <w:name w:val="apple-converted-space"/>
    <w:basedOn w:val="Standardnpsmoodstavce"/>
    <w:rsid w:val="000A484A"/>
  </w:style>
  <w:style w:type="character" w:styleId="Hypertextovodkaz">
    <w:name w:val="Hyperlink"/>
    <w:basedOn w:val="Standardnpsmoodstavce"/>
    <w:uiPriority w:val="99"/>
    <w:unhideWhenUsed/>
    <w:rsid w:val="000A484A"/>
    <w:rPr>
      <w:color w:val="0000FF"/>
      <w:u w:val="single"/>
    </w:rPr>
  </w:style>
  <w:style w:type="character" w:styleId="Sledovanodkaz">
    <w:name w:val="FollowedHyperlink"/>
    <w:basedOn w:val="Standardnpsmoodstavce"/>
    <w:uiPriority w:val="99"/>
    <w:semiHidden/>
    <w:unhideWhenUsed/>
    <w:rsid w:val="00D8022F"/>
    <w:rPr>
      <w:color w:val="800080" w:themeColor="followedHyperlink"/>
      <w:u w:val="single"/>
    </w:rPr>
  </w:style>
  <w:style w:type="character" w:styleId="Nevyeenzmnka">
    <w:name w:val="Unresolved Mention"/>
    <w:basedOn w:val="Standardnpsmoodstavce"/>
    <w:uiPriority w:val="99"/>
    <w:semiHidden/>
    <w:unhideWhenUsed/>
    <w:rsid w:val="00BE1D97"/>
    <w:rPr>
      <w:color w:val="605E5C"/>
      <w:shd w:val="clear" w:color="auto" w:fill="E1DFDD"/>
    </w:rPr>
  </w:style>
  <w:style w:type="character" w:customStyle="1" w:styleId="apple-tab-span">
    <w:name w:val="apple-tab-span"/>
    <w:basedOn w:val="Standardnpsmoodstavce"/>
    <w:rsid w:val="0059629B"/>
  </w:style>
  <w:style w:type="paragraph" w:styleId="Normlnweb">
    <w:name w:val="Normal (Web)"/>
    <w:basedOn w:val="Normln"/>
    <w:uiPriority w:val="99"/>
    <w:unhideWhenUsed/>
    <w:rsid w:val="00620112"/>
    <w:pPr>
      <w:spacing w:before="100" w:beforeAutospacing="1" w:after="100" w:afterAutospacing="1" w:line="240" w:lineRule="auto"/>
    </w:pPr>
    <w:rPr>
      <w:rFonts w:ascii="Times New Roman" w:eastAsia="Times New Roman" w:hAnsi="Times New Roman" w:cs="Times New Roman"/>
      <w:sz w:val="24"/>
      <w:szCs w:val="24"/>
    </w:rPr>
  </w:style>
  <w:style w:type="character" w:styleId="Siln">
    <w:name w:val="Strong"/>
    <w:basedOn w:val="Standardnpsmoodstavce"/>
    <w:uiPriority w:val="22"/>
    <w:qFormat/>
    <w:rsid w:val="004001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60079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28uFtYF1xZhybOsXDcVcn/pBKA==">CgMxLjA4AHIhMXQ4NHlkQkxxMHpsZW96a0didTh0enhzek50NmJDVklp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580</Words>
  <Characters>3559</Characters>
  <Application>Microsoft Office Word</Application>
  <DocSecurity>0</DocSecurity>
  <Lines>53</Lines>
  <Paragraphs>13</Paragraphs>
  <ScaleCrop>false</ScaleCrop>
  <Company/>
  <LinksUpToDate>false</LinksUpToDate>
  <CharactersWithSpaces>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ASPEN.PR</dc:creator>
  <cp:lastModifiedBy>Michal Hoblík</cp:lastModifiedBy>
  <cp:revision>4</cp:revision>
  <dcterms:created xsi:type="dcterms:W3CDTF">2025-02-20T06:14:00Z</dcterms:created>
  <dcterms:modified xsi:type="dcterms:W3CDTF">2025-02-20T09:14:00Z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0x0101000D5BA5293DBE084EBC0EC1655A16A59D</vt:lpwstr>
  </property>
</Properties>
</file>