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2FAFF0" w14:textId="299B61EF" w:rsidR="00804469" w:rsidRPr="00355C3F" w:rsidRDefault="00DC5CC1" w:rsidP="00355C3F">
      <w:pPr>
        <w:jc w:val="center"/>
        <w:rPr>
          <w:b/>
          <w:bCs/>
          <w:sz w:val="28"/>
          <w:szCs w:val="28"/>
        </w:rPr>
      </w:pPr>
      <w:r w:rsidRPr="00DC5CC1">
        <w:rPr>
          <w:b/>
          <w:bCs/>
          <w:sz w:val="28"/>
          <w:szCs w:val="28"/>
        </w:rPr>
        <w:t xml:space="preserve">ESG </w:t>
      </w:r>
      <w:r>
        <w:rPr>
          <w:b/>
          <w:bCs/>
          <w:sz w:val="28"/>
          <w:szCs w:val="28"/>
        </w:rPr>
        <w:t>je pro firmy také</w:t>
      </w:r>
      <w:r w:rsidRPr="00DC5CC1">
        <w:rPr>
          <w:b/>
          <w:bCs/>
          <w:sz w:val="28"/>
          <w:szCs w:val="28"/>
        </w:rPr>
        <w:t xml:space="preserve"> příležitost ke zlepšení konkurenceschopnosti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br/>
        <w:t>a atraktivity v očích zákazníků, ale i zaměstnanců</w:t>
      </w:r>
    </w:p>
    <w:p w14:paraId="1983F512" w14:textId="0C2FB263" w:rsidR="00DC5CC1" w:rsidRDefault="00804469" w:rsidP="00804469">
      <w:pPr>
        <w:rPr>
          <w:b/>
          <w:bCs/>
        </w:rPr>
      </w:pPr>
      <w:r w:rsidRPr="00804469">
        <w:rPr>
          <w:b/>
          <w:bCs/>
        </w:rPr>
        <w:t xml:space="preserve">Praha, </w:t>
      </w:r>
      <w:r w:rsidR="003D090E">
        <w:rPr>
          <w:b/>
          <w:bCs/>
        </w:rPr>
        <w:t>21</w:t>
      </w:r>
      <w:r w:rsidRPr="00804469">
        <w:rPr>
          <w:b/>
          <w:bCs/>
        </w:rPr>
        <w:t>. února 2025 -</w:t>
      </w:r>
      <w:r>
        <w:t xml:space="preserve"> </w:t>
      </w:r>
      <w:r w:rsidR="00DC5CC1" w:rsidRPr="00DC5CC1">
        <w:rPr>
          <w:b/>
          <w:bCs/>
        </w:rPr>
        <w:t>Nová směrnice CSRD (</w:t>
      </w:r>
      <w:proofErr w:type="spellStart"/>
      <w:r w:rsidR="00DC5CC1" w:rsidRPr="00DC5CC1">
        <w:rPr>
          <w:b/>
          <w:bCs/>
        </w:rPr>
        <w:t>Corporate</w:t>
      </w:r>
      <w:proofErr w:type="spellEnd"/>
      <w:r w:rsidR="00DC5CC1" w:rsidRPr="00DC5CC1">
        <w:rPr>
          <w:b/>
          <w:bCs/>
        </w:rPr>
        <w:t xml:space="preserve"> </w:t>
      </w:r>
      <w:proofErr w:type="spellStart"/>
      <w:r w:rsidR="00DC5CC1" w:rsidRPr="00DC5CC1">
        <w:rPr>
          <w:b/>
          <w:bCs/>
        </w:rPr>
        <w:t>Sustainability</w:t>
      </w:r>
      <w:proofErr w:type="spellEnd"/>
      <w:r w:rsidR="00DC5CC1" w:rsidRPr="00DC5CC1">
        <w:rPr>
          <w:b/>
          <w:bCs/>
        </w:rPr>
        <w:t xml:space="preserve"> Reporting </w:t>
      </w:r>
      <w:proofErr w:type="spellStart"/>
      <w:r w:rsidR="00DC5CC1" w:rsidRPr="00DC5CC1">
        <w:rPr>
          <w:b/>
          <w:bCs/>
        </w:rPr>
        <w:t>Directive</w:t>
      </w:r>
      <w:proofErr w:type="spellEnd"/>
      <w:r w:rsidR="00DC5CC1" w:rsidRPr="00DC5CC1">
        <w:rPr>
          <w:b/>
          <w:bCs/>
        </w:rPr>
        <w:t>) výrazně rozšiřuje požadavky na obsah výročních zpráv za oblast ESG. Firmy budou muset detailně mapovat hodnotový řetězec, provádět analýzu tzv. dvojí významnosti</w:t>
      </w:r>
      <w:r w:rsidR="00DC5CC1">
        <w:rPr>
          <w:b/>
          <w:bCs/>
        </w:rPr>
        <w:t xml:space="preserve">, </w:t>
      </w:r>
      <w:r w:rsidR="00DC5CC1" w:rsidRPr="00DC5CC1">
        <w:rPr>
          <w:b/>
          <w:bCs/>
        </w:rPr>
        <w:t xml:space="preserve">která </w:t>
      </w:r>
      <w:proofErr w:type="gramStart"/>
      <w:r w:rsidR="00DC5CC1" w:rsidRPr="00DC5CC1">
        <w:rPr>
          <w:b/>
          <w:bCs/>
        </w:rPr>
        <w:t>hodnotí</w:t>
      </w:r>
      <w:proofErr w:type="gramEnd"/>
      <w:r w:rsidR="00DC5CC1" w:rsidRPr="00DC5CC1">
        <w:rPr>
          <w:b/>
          <w:bCs/>
        </w:rPr>
        <w:t xml:space="preserve"> </w:t>
      </w:r>
      <w:r w:rsidR="00215F92">
        <w:rPr>
          <w:b/>
          <w:bCs/>
        </w:rPr>
        <w:t xml:space="preserve">jak </w:t>
      </w:r>
      <w:r w:rsidR="00DC5CC1" w:rsidRPr="00DC5CC1">
        <w:rPr>
          <w:b/>
          <w:bCs/>
        </w:rPr>
        <w:t>vliv společnosti na okolí</w:t>
      </w:r>
      <w:r w:rsidR="00DC5CC1">
        <w:rPr>
          <w:b/>
          <w:bCs/>
        </w:rPr>
        <w:t>, tak vliv okolí na</w:t>
      </w:r>
      <w:r w:rsidR="00DC5CC1" w:rsidRPr="00DC5CC1">
        <w:rPr>
          <w:b/>
          <w:bCs/>
        </w:rPr>
        <w:t xml:space="preserve"> společnost</w:t>
      </w:r>
      <w:r w:rsidR="00DC5CC1">
        <w:rPr>
          <w:b/>
          <w:bCs/>
        </w:rPr>
        <w:t>.</w:t>
      </w:r>
      <w:r w:rsidR="00DC5CC1" w:rsidRPr="00DC5CC1">
        <w:rPr>
          <w:b/>
          <w:bCs/>
        </w:rPr>
        <w:t xml:space="preserve"> </w:t>
      </w:r>
      <w:r w:rsidR="00DC5CC1">
        <w:rPr>
          <w:b/>
          <w:bCs/>
        </w:rPr>
        <w:t>A zároveň</w:t>
      </w:r>
      <w:r w:rsidR="00DC5CC1" w:rsidRPr="00DC5CC1">
        <w:rPr>
          <w:b/>
          <w:bCs/>
        </w:rPr>
        <w:t xml:space="preserve"> kvantifikovat klíčové environmentální ukazatele, například emise skleníkových plynů.</w:t>
      </w:r>
      <w:r w:rsidR="00DC5CC1">
        <w:rPr>
          <w:b/>
          <w:bCs/>
        </w:rPr>
        <w:t xml:space="preserve"> </w:t>
      </w:r>
      <w:r w:rsidR="00215F92" w:rsidRPr="00215F92">
        <w:rPr>
          <w:b/>
          <w:bCs/>
        </w:rPr>
        <w:t>Nejde ale jen o regulatorní povinnost – je to zároveň příležitost pro firmy, jak zvýšit svou atraktivitu v očích zákazníků i zaměstnanců.</w:t>
      </w:r>
    </w:p>
    <w:p w14:paraId="72B8FB96" w14:textId="5686A133" w:rsidR="00DC5CC1" w:rsidRDefault="00DC5CC1" w:rsidP="006C7311">
      <w:r>
        <w:t>„</w:t>
      </w:r>
      <w:r w:rsidRPr="00DC5CC1">
        <w:t>Stanovení uhlíkové stopy firmy bylo ještě před pár lety výjimkou, ale v dnešní době o výpočtu a snižování uhlíkové stopy sl</w:t>
      </w:r>
      <w:r>
        <w:t>yšíme</w:t>
      </w:r>
      <w:r w:rsidRPr="00DC5CC1">
        <w:t xml:space="preserve"> </w:t>
      </w:r>
      <w:r>
        <w:t>stále častěji</w:t>
      </w:r>
      <w:r w:rsidRPr="00DC5CC1">
        <w:t>. Vlnu zájmu o toto téma zvedla nejen nová legislativa přicházející z EU, ale i rostoucí tlak ze strany zákazníků a obchodních partnerů</w:t>
      </w:r>
      <w:r>
        <w:t>,“ říká Jaroslav Žák ze společnosti BWT.</w:t>
      </w:r>
    </w:p>
    <w:p w14:paraId="22250347" w14:textId="08DFE216" w:rsidR="00DC5CC1" w:rsidRDefault="00DC5CC1" w:rsidP="006C7311">
      <w:r w:rsidRPr="00DC5CC1">
        <w:t>Nová evropská směrnice CSRD zavádí povinnost zveřejňovat podrobné informace o udržitelnosti včetně uhlíkové stopy. Týká se to firem, které splní alespoň dvě ze tří kritérií: mají více než 250 zaměstnanců; tržby vyšší než 1240 milionů korun; aktiva v rozvaze vyšší než 620 milionů korun. Tyto společnosti budou muset vydat svůj první ESG report už v roce 2026 (tedy za období roku 2025).</w:t>
      </w:r>
    </w:p>
    <w:p w14:paraId="4D70C8CF" w14:textId="70D523B3" w:rsidR="00DC5CC1" w:rsidRDefault="00DC5CC1" w:rsidP="006C7311">
      <w:r w:rsidRPr="00DC5CC1">
        <w:t xml:space="preserve">I když </w:t>
      </w:r>
      <w:r>
        <w:t>firma</w:t>
      </w:r>
      <w:r w:rsidRPr="00DC5CC1">
        <w:t xml:space="preserve"> </w:t>
      </w:r>
      <w:r>
        <w:t>nepatří mezi výše zmíněné</w:t>
      </w:r>
      <w:r w:rsidRPr="00DC5CC1">
        <w:t xml:space="preserve">, neznamená to, že se </w:t>
      </w:r>
      <w:r>
        <w:t>jí</w:t>
      </w:r>
      <w:r w:rsidRPr="00DC5CC1">
        <w:t xml:space="preserve"> téma uhlíkové stopy netýká. Velké společnosti totiž potřebují pro výpočet své uhlíkové stopy znát i emise vznikající ve svém dodavatelském řetězci. Proto se budou ptát všech svých dodavatelů na informace potřebné pro vlastní reporting. Pro menší a střední podniky tak nastává zajímavá situace. I když nemají přímou zákonnou povinnost měřit vlastní uhlíkovou stopu, bez těchto dat mohou mít v budoucnu problém uspět ve výběrových řízeních u větších odběratelů. V některých odvětvích se to již děje, například v automobilovém průmyslu nebo ve stavebnictví.</w:t>
      </w:r>
    </w:p>
    <w:p w14:paraId="27A63323" w14:textId="75736F46" w:rsidR="00C03AC4" w:rsidRDefault="00C03AC4" w:rsidP="00C03AC4">
      <w:r>
        <w:t>Malé a střední podniky jsou důležitým článkem dodavatelských řetězců. Ačkoliv zatím nemusí plnit povinnost formálního ESG reportingu, jejich obchodní partneři, zejména větší firmy, stále více vyžadují transparentnost a udržitelné praktiky. To znamená, že malé a střední podniky, které na tyto požadavky nereagují, mohou být postupně z dodavatelských vztahů vytlačeny.</w:t>
      </w:r>
    </w:p>
    <w:p w14:paraId="20DF0BA7" w14:textId="03E5A19A" w:rsidR="00C03AC4" w:rsidRDefault="009326C4" w:rsidP="00C03AC4">
      <w:r>
        <w:t>„</w:t>
      </w:r>
      <w:r w:rsidR="00C03AC4">
        <w:t xml:space="preserve">Mnoho podniků si začíná uvědomovat, že ESG není jen o splnění povinností, ale představuje příležitost k růstu, úsporám a zlepšení vztahů </w:t>
      </w:r>
      <w:r>
        <w:t>se zákazníky a okolím</w:t>
      </w:r>
      <w:r w:rsidR="00C03AC4">
        <w:t>. Firmy často realizují činnosti jako investice do obnovitelných zdrojů, elektromobility nebo cirkulární ekonomiky, aniž by si plně uvědomovaly, že tím naplňují principy ESG</w:t>
      </w:r>
      <w:r>
        <w:t>,“ říká Lukáš Rom ze společnosti</w:t>
      </w:r>
      <w:r w:rsidR="005E4295">
        <w:t xml:space="preserve"> </w:t>
      </w:r>
      <w:proofErr w:type="spellStart"/>
      <w:r w:rsidR="005E4295" w:rsidRPr="005E4295">
        <w:t>Kärcher</w:t>
      </w:r>
      <w:proofErr w:type="spellEnd"/>
      <w:r w:rsidR="005E4295" w:rsidRPr="005E4295">
        <w:t>.</w:t>
      </w:r>
    </w:p>
    <w:p w14:paraId="0BCB95EC" w14:textId="68A5DDE9" w:rsidR="00DC5CC1" w:rsidRDefault="00C03AC4" w:rsidP="006C7311">
      <w:r>
        <w:t>I střední a menší firmy by měly již nyní pracovat na jasné ESG strategii. Ta po</w:t>
      </w:r>
      <w:r w:rsidRPr="00C03AC4">
        <w:t>m</w:t>
      </w:r>
      <w:r>
        <w:t>ůže</w:t>
      </w:r>
      <w:r w:rsidRPr="00C03AC4">
        <w:t xml:space="preserve"> zajistit, že celá organizace sdílí jednotný přístup k řízení udržitelnosti a sladění obchodních cílů s regulatorními požadavky. Tento integrovaný přístup nejen minimalizuje rizika spojená s environmentálními a sociálními faktory, ale zároveň maximalizuje přínosy těchto opatření.</w:t>
      </w:r>
    </w:p>
    <w:p w14:paraId="27B5BEAD" w14:textId="71006C3A" w:rsidR="007173B4" w:rsidRDefault="005E4295">
      <w:r>
        <w:t>„</w:t>
      </w:r>
      <w:r w:rsidRPr="005E4295">
        <w:t>ESG může mít také významný vliv na image firmy u současných i potenciálních zaměstnanců. V současné době, kdy jsou udržitelnost a etické hodnoty pro mnoho lidí klíčovými faktory při výběru zaměstnavatele, může firma, která aktivně podporuje principy ESG, přitahovat talentované pracovníky, kteří sdílejí stejné hodnoty. Zodpovědný přístup k životnímu prostředí, sociálním otázkám a transparentnosti může přispět k vyšší angažovanosti zaměstnanců a lepší firemní kultuře. Pro firmy to znamená nejen konkurenceschopnost na trhu práce, ale i silnější loajalitu a motivaci stávajících zaměstnanců</w:t>
      </w:r>
      <w:r>
        <w:t>,“ říká Tomáš Pavlíček ze pracovního portálu Atmoskop.cz.</w:t>
      </w:r>
    </w:p>
    <w:sectPr w:rsidR="007173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6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469"/>
    <w:rsid w:val="00022D18"/>
    <w:rsid w:val="000F0FB7"/>
    <w:rsid w:val="000F3C93"/>
    <w:rsid w:val="00147D46"/>
    <w:rsid w:val="00215F92"/>
    <w:rsid w:val="0024177F"/>
    <w:rsid w:val="00254DA1"/>
    <w:rsid w:val="00355C3F"/>
    <w:rsid w:val="003A3B53"/>
    <w:rsid w:val="003D090E"/>
    <w:rsid w:val="004F74FA"/>
    <w:rsid w:val="0058507F"/>
    <w:rsid w:val="005E4295"/>
    <w:rsid w:val="00654C1F"/>
    <w:rsid w:val="006B428D"/>
    <w:rsid w:val="006C41D2"/>
    <w:rsid w:val="006C7311"/>
    <w:rsid w:val="007173B4"/>
    <w:rsid w:val="007F0AAD"/>
    <w:rsid w:val="007F45ED"/>
    <w:rsid w:val="00804469"/>
    <w:rsid w:val="00867486"/>
    <w:rsid w:val="00893588"/>
    <w:rsid w:val="008B5AAA"/>
    <w:rsid w:val="00912FEB"/>
    <w:rsid w:val="009326C4"/>
    <w:rsid w:val="00991D57"/>
    <w:rsid w:val="009C0594"/>
    <w:rsid w:val="00A8589A"/>
    <w:rsid w:val="00B902EC"/>
    <w:rsid w:val="00B92C97"/>
    <w:rsid w:val="00C03AC4"/>
    <w:rsid w:val="00D10EE2"/>
    <w:rsid w:val="00D93770"/>
    <w:rsid w:val="00DC5CC1"/>
    <w:rsid w:val="00E56C9F"/>
    <w:rsid w:val="00EE4139"/>
    <w:rsid w:val="00F45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FC3D8C"/>
  <w15:chartTrackingRefBased/>
  <w15:docId w15:val="{6E79EC54-7A63-4AF6-91EA-E27A76EB8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804469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804469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022D18"/>
    <w:rPr>
      <w:color w:val="954F72" w:themeColor="followedHyperlink"/>
      <w:u w:val="single"/>
    </w:rPr>
  </w:style>
  <w:style w:type="paragraph" w:styleId="Revize">
    <w:name w:val="Revision"/>
    <w:hidden/>
    <w:uiPriority w:val="99"/>
    <w:semiHidden/>
    <w:rsid w:val="008B5AA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4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72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50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51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15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56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6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559</Words>
  <Characters>3202</Characters>
  <Application>Microsoft Office Word</Application>
  <DocSecurity>0</DocSecurity>
  <Lines>55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Michal Hoblík</cp:lastModifiedBy>
  <cp:revision>7</cp:revision>
  <dcterms:created xsi:type="dcterms:W3CDTF">2025-02-21T11:16:00Z</dcterms:created>
  <dcterms:modified xsi:type="dcterms:W3CDTF">2025-02-21T11:32:00Z</dcterms:modified>
</cp:coreProperties>
</file>