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8E719" w14:textId="1260437F" w:rsidR="00713ECC" w:rsidRDefault="000E5B1D" w:rsidP="0033069B">
      <w:pPr>
        <w:jc w:val="center"/>
        <w:rPr>
          <w:b/>
          <w:bCs/>
          <w:sz w:val="28"/>
          <w:szCs w:val="28"/>
        </w:rPr>
      </w:pPr>
      <w:r>
        <w:rPr>
          <w:b/>
          <w:bCs/>
          <w:sz w:val="28"/>
          <w:szCs w:val="28"/>
        </w:rPr>
        <w:br/>
      </w:r>
      <w:r w:rsidR="00EC526A" w:rsidRPr="00EC526A">
        <w:rPr>
          <w:b/>
          <w:bCs/>
          <w:sz w:val="28"/>
          <w:szCs w:val="28"/>
        </w:rPr>
        <w:t xml:space="preserve">Skrytá rádia v čínských střídačích otevírají cestu hackerům. </w:t>
      </w:r>
      <w:r w:rsidR="00EC526A">
        <w:rPr>
          <w:b/>
          <w:bCs/>
          <w:sz w:val="28"/>
          <w:szCs w:val="28"/>
        </w:rPr>
        <w:br/>
      </w:r>
      <w:r w:rsidR="00EC526A" w:rsidRPr="00EC526A">
        <w:rPr>
          <w:b/>
          <w:bCs/>
          <w:sz w:val="28"/>
          <w:szCs w:val="28"/>
        </w:rPr>
        <w:t>Riziko roste i pro české solární elektrárny</w:t>
      </w:r>
    </w:p>
    <w:p w14:paraId="374E93E8" w14:textId="77777777" w:rsidR="0033069B" w:rsidRDefault="0033069B" w:rsidP="00E70E8B">
      <w:pPr>
        <w:rPr>
          <w:b/>
          <w:bCs/>
          <w:sz w:val="28"/>
          <w:szCs w:val="28"/>
        </w:rPr>
      </w:pPr>
    </w:p>
    <w:p w14:paraId="5C355DD6" w14:textId="510D53F5" w:rsidR="00EC526A" w:rsidRDefault="005D59F6" w:rsidP="00E70E8B">
      <w:pPr>
        <w:rPr>
          <w:b/>
          <w:bCs/>
        </w:rPr>
      </w:pPr>
      <w:r w:rsidRPr="006667D1">
        <w:rPr>
          <w:b/>
          <w:bCs/>
        </w:rPr>
        <w:t xml:space="preserve">Praha, </w:t>
      </w:r>
      <w:r w:rsidR="000735EE">
        <w:rPr>
          <w:b/>
          <w:bCs/>
        </w:rPr>
        <w:t>3</w:t>
      </w:r>
      <w:r w:rsidR="00B74E23">
        <w:rPr>
          <w:b/>
          <w:bCs/>
        </w:rPr>
        <w:t>.</w:t>
      </w:r>
      <w:r w:rsidRPr="006667D1">
        <w:rPr>
          <w:b/>
          <w:bCs/>
        </w:rPr>
        <w:t xml:space="preserve"> </w:t>
      </w:r>
      <w:r w:rsidR="000735EE">
        <w:rPr>
          <w:b/>
          <w:bCs/>
        </w:rPr>
        <w:t>října</w:t>
      </w:r>
      <w:r w:rsidRPr="006667D1">
        <w:rPr>
          <w:b/>
          <w:bCs/>
        </w:rPr>
        <w:t xml:space="preserve"> 2025</w:t>
      </w:r>
      <w:r>
        <w:t xml:space="preserve"> </w:t>
      </w:r>
      <w:proofErr w:type="gramStart"/>
      <w:r w:rsidR="00EC526A">
        <w:t>-</w:t>
      </w:r>
      <w:r w:rsidR="00F81BF5">
        <w:rPr>
          <w:b/>
          <w:bCs/>
        </w:rPr>
        <w:t xml:space="preserve"> </w:t>
      </w:r>
      <w:r w:rsidR="00EC526A">
        <w:rPr>
          <w:b/>
          <w:bCs/>
        </w:rPr>
        <w:t xml:space="preserve"> </w:t>
      </w:r>
      <w:r w:rsidR="00EC526A" w:rsidRPr="00EC526A">
        <w:rPr>
          <w:b/>
          <w:bCs/>
        </w:rPr>
        <w:t>Ve</w:t>
      </w:r>
      <w:proofErr w:type="gramEnd"/>
      <w:r w:rsidR="00EC526A" w:rsidRPr="00EC526A">
        <w:rPr>
          <w:b/>
          <w:bCs/>
        </w:rPr>
        <w:t xml:space="preserve"> Spojených státech </w:t>
      </w:r>
      <w:hyperlink r:id="rId4" w:history="1">
        <w:r w:rsidR="00EC526A" w:rsidRPr="00EC526A">
          <w:rPr>
            <w:rStyle w:val="Hypertextovodkaz"/>
            <w:b/>
            <w:bCs/>
          </w:rPr>
          <w:t>odhalili experti</w:t>
        </w:r>
      </w:hyperlink>
      <w:r w:rsidR="00EC526A" w:rsidRPr="00EC526A">
        <w:rPr>
          <w:b/>
          <w:bCs/>
        </w:rPr>
        <w:t xml:space="preserve"> v bateriových uložištích a střídačích čínské výroby tzv. </w:t>
      </w:r>
      <w:proofErr w:type="spellStart"/>
      <w:r w:rsidR="00EC526A" w:rsidRPr="00EC526A">
        <w:rPr>
          <w:b/>
          <w:bCs/>
        </w:rPr>
        <w:t>undocumented</w:t>
      </w:r>
      <w:proofErr w:type="spellEnd"/>
      <w:r w:rsidR="00EC526A" w:rsidRPr="00EC526A">
        <w:rPr>
          <w:b/>
          <w:bCs/>
        </w:rPr>
        <w:t xml:space="preserve"> </w:t>
      </w:r>
      <w:proofErr w:type="spellStart"/>
      <w:r w:rsidR="00EC526A" w:rsidRPr="00EC526A">
        <w:rPr>
          <w:b/>
          <w:bCs/>
        </w:rPr>
        <w:t>cellular</w:t>
      </w:r>
      <w:proofErr w:type="spellEnd"/>
      <w:r w:rsidR="00EC526A" w:rsidRPr="00EC526A">
        <w:rPr>
          <w:b/>
          <w:bCs/>
        </w:rPr>
        <w:t xml:space="preserve"> rádia. Tato skrytá komunikační zařízení mohou obcházet firewally a umožnit vzdálený přístup, což vyvolalo debatu o možných „zadních vrátkách“ v solárních komponentech. Podle bezpečnostních specialistů jde o varovný signál i pro Evropu, kde se podobná zařízení masivně nasazují.</w:t>
      </w:r>
    </w:p>
    <w:p w14:paraId="41B4D5FB" w14:textId="77777777" w:rsidR="00EC526A" w:rsidRPr="00EC526A" w:rsidRDefault="00EC526A" w:rsidP="00EC526A">
      <w:r w:rsidRPr="00EC526A">
        <w:t>Na rozdíl od telekomunikací a kritických částí 5G sítí, kde je přísně zakázáno používat komponenty některých čínských výrobců kvůli obavám z kybernetických hrozeb, toto neplatí u solárních elektráren a bateriových úložišť. Mnoho lidí i institucí si přitom rizika spojená s využíváním těchto komponent stále neuvědomuje. Jde především o hrozby kybernetické.</w:t>
      </w:r>
    </w:p>
    <w:p w14:paraId="3BA9BAEE" w14:textId="26807097" w:rsidR="00EC526A" w:rsidRDefault="00EC526A" w:rsidP="00EC526A">
      <w:r w:rsidRPr="00EC526A">
        <w:t xml:space="preserve">„Hardware i software je vyrobený v Číně, nelze však zjistit, kam se všude ukládají a posílají data. Nikdo tak nemůže vyloučit zneužití bateriových úložišť k útokům na kritickou energetickou infrastrukturu, ochromení činnosti firem a institucí či ke krádežím dat,“ upozorňuje Pavel Bursa ze společnosti </w:t>
      </w:r>
      <w:proofErr w:type="spellStart"/>
      <w:r w:rsidRPr="00EC526A">
        <w:t>Resacs</w:t>
      </w:r>
      <w:proofErr w:type="spellEnd"/>
      <w:r>
        <w:t>.</w:t>
      </w:r>
    </w:p>
    <w:p w14:paraId="71413160" w14:textId="77777777" w:rsidR="00EC526A" w:rsidRPr="00EC526A" w:rsidRDefault="00EC526A" w:rsidP="00EC526A">
      <w:pPr>
        <w:rPr>
          <w:b/>
          <w:bCs/>
        </w:rPr>
      </w:pPr>
      <w:r w:rsidRPr="00EC526A">
        <w:rPr>
          <w:b/>
          <w:bCs/>
        </w:rPr>
        <w:t>Útoky mohou mít vážné dopady</w:t>
      </w:r>
    </w:p>
    <w:p w14:paraId="6D10304D" w14:textId="77777777" w:rsidR="00EC526A" w:rsidRDefault="00EC526A" w:rsidP="00EC526A">
      <w:r>
        <w:t>Asi nejzásadnější je možnost vzdálené kontroly baterie s cílem poškodit konkrétního zákazníka nebo dokonce narušit stabilitu celé sítě. Baterie lze na dálku ovládat, zadat jim příkaz a potenciálně tak vyvolat poruchy nebo výpadky. Kromě toho mohou některé čínské baterie trpět nižší kvalitou kvůli nedostatečné regulaci a snaze o co nejnižší cenu, což zvyšuje riziko poruch či v krajním případě i zahoření.</w:t>
      </w:r>
    </w:p>
    <w:p w14:paraId="2119E08D" w14:textId="77777777" w:rsidR="00EC526A" w:rsidRPr="00EC526A" w:rsidRDefault="00EC526A" w:rsidP="00EC526A">
      <w:pPr>
        <w:rPr>
          <w:b/>
          <w:bCs/>
        </w:rPr>
      </w:pPr>
      <w:r w:rsidRPr="00EC526A">
        <w:rPr>
          <w:b/>
          <w:bCs/>
        </w:rPr>
        <w:t>Jaké typy útoků hrozí?</w:t>
      </w:r>
    </w:p>
    <w:p w14:paraId="3EC60B9D" w14:textId="665BD850" w:rsidR="00EC526A" w:rsidRDefault="00EC526A" w:rsidP="00EC526A">
      <w:r>
        <w:t xml:space="preserve">Hrozby sahají od útočení přímo na střídače a SCADA systémy, přes síťové a cloudové útoky, až po kompromitaci systémů energetického managementu nebo vstup přes dodavatele služeb. Střídače a SCADA bývají často připojené k internetu a pokud mají slabé zabezpečení nebo zastaralý firmware, mohou se stát vstupní branou pro útočníky, kteří pak dokážou měnit chování zařízení nebo je zcela odstřihnout od cloudových funkcí. </w:t>
      </w:r>
    </w:p>
    <w:p w14:paraId="47652214" w14:textId="358C6718" w:rsidR="00EC526A" w:rsidRDefault="00EC526A" w:rsidP="00EC526A">
      <w:r>
        <w:t xml:space="preserve">Fotovoltaické střídače jsou často přímo připojeny k internetu prostřednictvím API pro monitorování a vzdálenou správu. A tato nastavení obvykle nemají nejlepší zabezpečení. Útok hackerů pak začíná, když jsou zneužita zranitelná místa ve firmwaru střídače nebo připojení k internetu. Aktualizace firmwaru například může trvale ponechat otevřený internetový port. „Hackeři se mohou snadno dostat přes otevřené porty, zvláště pokud systém stále používá výchozí hesla. Jakmile jsou uvnitř, mohou převzít kontrolu nad měničem a manipulovat se systémem, například přerušením komunikace a cloudových funkcí, což vyžaduje ruční opravy nebo někdy dokonce úplnou výměnu měničů,“ říká Roman </w:t>
      </w:r>
      <w:proofErr w:type="spellStart"/>
      <w:r>
        <w:t>Kümmel</w:t>
      </w:r>
      <w:proofErr w:type="spellEnd"/>
      <w:r>
        <w:t>, odborník na IT bezpečnost z Počítačové školy GOPAS.</w:t>
      </w:r>
    </w:p>
    <w:p w14:paraId="18EE4DE9" w14:textId="77777777" w:rsidR="00EC526A" w:rsidRDefault="00EC526A" w:rsidP="00EC526A">
      <w:r>
        <w:t>Současně může dojít k síťovým útokům využívajícím otevřené porty či zavádějícím malware a ransomware, zatímco v cloudovém prostředí hrozí útoky typu man-in-</w:t>
      </w:r>
      <w:proofErr w:type="spellStart"/>
      <w:r>
        <w:t>the</w:t>
      </w:r>
      <w:proofErr w:type="spellEnd"/>
      <w:r>
        <w:t>-</w:t>
      </w:r>
      <w:proofErr w:type="spellStart"/>
      <w:r>
        <w:t>middle</w:t>
      </w:r>
      <w:proofErr w:type="spellEnd"/>
      <w:r>
        <w:t xml:space="preserve">, krádež přihlašovacích údajů či zneužití API, což útočníkům umožní manipulovat s konfiguracemi a daty. Pokud útočníci proniknou do systémů energetického managementu (EMS), mohou manipulovat s distribucí energie nebo krást citlivé informace o spotřebě, což může vyvolat kaskádové provozní problémy; </w:t>
      </w:r>
      <w:r>
        <w:lastRenderedPageBreak/>
        <w:t>obdobně nebezpečná je kompromitace servisních firem a jiných třetích stran, jejichž přístupové údaje mohou zjednodušit průnik do spravovaných instalací.</w:t>
      </w:r>
    </w:p>
    <w:p w14:paraId="78C84E52" w14:textId="2DD32990" w:rsidR="00EC526A" w:rsidRDefault="00EC526A" w:rsidP="00EC526A">
      <w:r>
        <w:t xml:space="preserve"> Všechny tyto scénáře ukazují, že útoky mohou být jak čistě digitální — narušení monitoringu a správy nebo šifrování dat pro výkupné — tak </w:t>
      </w:r>
      <w:proofErr w:type="spellStart"/>
      <w:r>
        <w:t>kyberfyzické</w:t>
      </w:r>
      <w:proofErr w:type="spellEnd"/>
      <w:r>
        <w:t xml:space="preserve"> s přímými důsledky pro bezpečnost zařízení a stability sítě.</w:t>
      </w:r>
    </w:p>
    <w:p w14:paraId="37719C78" w14:textId="77777777" w:rsidR="00EC526A" w:rsidRPr="00EC526A" w:rsidRDefault="00EC526A" w:rsidP="00EC526A">
      <w:pPr>
        <w:rPr>
          <w:b/>
          <w:bCs/>
        </w:rPr>
      </w:pPr>
      <w:r w:rsidRPr="00EC526A">
        <w:rPr>
          <w:b/>
          <w:bCs/>
        </w:rPr>
        <w:t>Lokální výroba jako řešení</w:t>
      </w:r>
    </w:p>
    <w:p w14:paraId="1C8C8B07" w14:textId="0C4356F3" w:rsidR="00EC526A" w:rsidRDefault="00EC526A" w:rsidP="00EC526A">
      <w:r>
        <w:t xml:space="preserve">Baterie vyrobené v Česku či Evropě mají výhodu, že i když obsahují články z Číny, jejich architektura a software jsou vlastní a data zůstávají uložená v EU. „Tento přístup zajišťuje, že jsou méně náchylné k manipulaci nebo zneužití. Navíc jsou vybaveny pokročilými bezpečnostními systémy, které monitorují jejich provoz a reagují na hrozby v reálném čase,“ říká Pavel Bursa z </w:t>
      </w:r>
      <w:proofErr w:type="spellStart"/>
      <w:r>
        <w:t>Resacs</w:t>
      </w:r>
      <w:proofErr w:type="spellEnd"/>
    </w:p>
    <w:p w14:paraId="56BE4071" w14:textId="77777777" w:rsidR="00EC526A" w:rsidRPr="00EC526A" w:rsidRDefault="00EC526A" w:rsidP="00EC526A">
      <w:pPr>
        <w:rPr>
          <w:b/>
          <w:bCs/>
        </w:rPr>
      </w:pPr>
      <w:r w:rsidRPr="00EC526A">
        <w:rPr>
          <w:b/>
          <w:bCs/>
        </w:rPr>
        <w:t>Riziko potvrzují i nové výzkumy</w:t>
      </w:r>
    </w:p>
    <w:p w14:paraId="22AD4985" w14:textId="7A004035" w:rsidR="00EC526A" w:rsidRPr="00EC526A" w:rsidRDefault="00EC526A" w:rsidP="00EC526A">
      <w:r>
        <w:t xml:space="preserve">Že se nejedná o teoretické hrozby, ukazuje i další aktuální zjištění. Podle </w:t>
      </w:r>
      <w:hyperlink r:id="rId5" w:history="1">
        <w:r w:rsidRPr="00EC526A">
          <w:rPr>
            <w:rStyle w:val="Hypertextovodkaz"/>
          </w:rPr>
          <w:t xml:space="preserve">analýzy společnosti </w:t>
        </w:r>
        <w:proofErr w:type="spellStart"/>
        <w:r w:rsidRPr="00EC526A">
          <w:rPr>
            <w:rStyle w:val="Hypertextovodkaz"/>
          </w:rPr>
          <w:t>Forescout</w:t>
        </w:r>
        <w:proofErr w:type="spellEnd"/>
      </w:hyperlink>
      <w:r>
        <w:t xml:space="preserve"> je po celém světě zhruba 35 tisíc solárních zařízení – od střídačů po </w:t>
      </w:r>
      <w:proofErr w:type="spellStart"/>
      <w:r>
        <w:t>dataloggery</w:t>
      </w:r>
      <w:proofErr w:type="spellEnd"/>
      <w:r>
        <w:t xml:space="preserve"> – přímo dostupných z internetu. Tato exponovaná zařízení jsou tak snadno zranitelná vůči kybernetickým útokům. Navíc bylo identifikováno hned 46 nových zranitelností napříč kompletním portfoliem solárních komponent.</w:t>
      </w:r>
    </w:p>
    <w:p w14:paraId="36EB94A4" w14:textId="7BF39D7E" w:rsidR="00713ECC" w:rsidRDefault="00713ECC" w:rsidP="00F02F1C"/>
    <w:sectPr w:rsidR="00713E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2003B"/>
    <w:rsid w:val="00031D21"/>
    <w:rsid w:val="00055DFD"/>
    <w:rsid w:val="00064B8E"/>
    <w:rsid w:val="000735EE"/>
    <w:rsid w:val="00085B31"/>
    <w:rsid w:val="000A38E2"/>
    <w:rsid w:val="000B5237"/>
    <w:rsid w:val="000C3A52"/>
    <w:rsid w:val="000E4F93"/>
    <w:rsid w:val="000E5B1D"/>
    <w:rsid w:val="00107835"/>
    <w:rsid w:val="00146893"/>
    <w:rsid w:val="0016766C"/>
    <w:rsid w:val="001A3C0D"/>
    <w:rsid w:val="001B7BDB"/>
    <w:rsid w:val="001D6D75"/>
    <w:rsid w:val="00217354"/>
    <w:rsid w:val="00240EAD"/>
    <w:rsid w:val="0024177F"/>
    <w:rsid w:val="00284398"/>
    <w:rsid w:val="0029245B"/>
    <w:rsid w:val="00293BC8"/>
    <w:rsid w:val="00320E51"/>
    <w:rsid w:val="0033069B"/>
    <w:rsid w:val="00336D2D"/>
    <w:rsid w:val="00355CF8"/>
    <w:rsid w:val="00380C13"/>
    <w:rsid w:val="00385D41"/>
    <w:rsid w:val="003A3B53"/>
    <w:rsid w:val="003C334C"/>
    <w:rsid w:val="0044649F"/>
    <w:rsid w:val="00450ECA"/>
    <w:rsid w:val="00453F46"/>
    <w:rsid w:val="0048577D"/>
    <w:rsid w:val="00515A44"/>
    <w:rsid w:val="005365F8"/>
    <w:rsid w:val="00562220"/>
    <w:rsid w:val="00566168"/>
    <w:rsid w:val="005B3FAE"/>
    <w:rsid w:val="005B4C38"/>
    <w:rsid w:val="005D01AE"/>
    <w:rsid w:val="005D59F6"/>
    <w:rsid w:val="005E21E7"/>
    <w:rsid w:val="005E555B"/>
    <w:rsid w:val="005E67E9"/>
    <w:rsid w:val="006239A7"/>
    <w:rsid w:val="00640571"/>
    <w:rsid w:val="006667D1"/>
    <w:rsid w:val="00667172"/>
    <w:rsid w:val="00674C71"/>
    <w:rsid w:val="00691826"/>
    <w:rsid w:val="00693BE2"/>
    <w:rsid w:val="006B0F38"/>
    <w:rsid w:val="006E7C07"/>
    <w:rsid w:val="00713ECC"/>
    <w:rsid w:val="007173B4"/>
    <w:rsid w:val="00720E2E"/>
    <w:rsid w:val="0072752E"/>
    <w:rsid w:val="007407C3"/>
    <w:rsid w:val="00781108"/>
    <w:rsid w:val="007843A2"/>
    <w:rsid w:val="007917C9"/>
    <w:rsid w:val="007D3A8A"/>
    <w:rsid w:val="007D72DD"/>
    <w:rsid w:val="007E2BAA"/>
    <w:rsid w:val="007F0AAD"/>
    <w:rsid w:val="00802992"/>
    <w:rsid w:val="0081589F"/>
    <w:rsid w:val="00823B24"/>
    <w:rsid w:val="00843B45"/>
    <w:rsid w:val="008750D1"/>
    <w:rsid w:val="008903BB"/>
    <w:rsid w:val="008A2936"/>
    <w:rsid w:val="008A616D"/>
    <w:rsid w:val="008B3648"/>
    <w:rsid w:val="008E768C"/>
    <w:rsid w:val="00901E9F"/>
    <w:rsid w:val="009347C3"/>
    <w:rsid w:val="00966932"/>
    <w:rsid w:val="00977ADB"/>
    <w:rsid w:val="00991D57"/>
    <w:rsid w:val="00A851C0"/>
    <w:rsid w:val="00A86EBC"/>
    <w:rsid w:val="00A926C1"/>
    <w:rsid w:val="00AB3B62"/>
    <w:rsid w:val="00AC635D"/>
    <w:rsid w:val="00B74E23"/>
    <w:rsid w:val="00B7564E"/>
    <w:rsid w:val="00B922A9"/>
    <w:rsid w:val="00BB0B44"/>
    <w:rsid w:val="00BB19FA"/>
    <w:rsid w:val="00BC02F6"/>
    <w:rsid w:val="00BC3C6A"/>
    <w:rsid w:val="00BD4817"/>
    <w:rsid w:val="00BF3CDD"/>
    <w:rsid w:val="00C01197"/>
    <w:rsid w:val="00C5129D"/>
    <w:rsid w:val="00C5741B"/>
    <w:rsid w:val="00C62F90"/>
    <w:rsid w:val="00C6430D"/>
    <w:rsid w:val="00D61C10"/>
    <w:rsid w:val="00DB4BBD"/>
    <w:rsid w:val="00DB5B13"/>
    <w:rsid w:val="00DE4D35"/>
    <w:rsid w:val="00E00942"/>
    <w:rsid w:val="00E402EF"/>
    <w:rsid w:val="00E56C9F"/>
    <w:rsid w:val="00E664CA"/>
    <w:rsid w:val="00E70836"/>
    <w:rsid w:val="00E70E8B"/>
    <w:rsid w:val="00E71071"/>
    <w:rsid w:val="00E75B59"/>
    <w:rsid w:val="00E82468"/>
    <w:rsid w:val="00EC526A"/>
    <w:rsid w:val="00F02F1C"/>
    <w:rsid w:val="00F259A7"/>
    <w:rsid w:val="00F42AC2"/>
    <w:rsid w:val="00F748EB"/>
    <w:rsid w:val="00F81BF5"/>
    <w:rsid w:val="00FE1801"/>
    <w:rsid w:val="00FE1A56"/>
    <w:rsid w:val="00FE3EA3"/>
    <w:rsid w:val="00FF6211"/>
    <w:rsid w:val="00FF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4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53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36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link w:val="Nadpis1"/>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835">
      <w:bodyDiv w:val="1"/>
      <w:marLeft w:val="0"/>
      <w:marRight w:val="0"/>
      <w:marTop w:val="0"/>
      <w:marBottom w:val="0"/>
      <w:divBdr>
        <w:top w:val="none" w:sz="0" w:space="0" w:color="auto"/>
        <w:left w:val="none" w:sz="0" w:space="0" w:color="auto"/>
        <w:bottom w:val="none" w:sz="0" w:space="0" w:color="auto"/>
        <w:right w:val="none" w:sz="0" w:space="0" w:color="auto"/>
      </w:divBdr>
      <w:divsChild>
        <w:div w:id="86390636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559509421">
              <w:marLeft w:val="0"/>
              <w:marRight w:val="0"/>
              <w:marTop w:val="0"/>
              <w:marBottom w:val="0"/>
              <w:divBdr>
                <w:top w:val="none" w:sz="0" w:space="0" w:color="auto"/>
                <w:left w:val="none" w:sz="0" w:space="0" w:color="auto"/>
                <w:bottom w:val="none" w:sz="0" w:space="0" w:color="auto"/>
                <w:right w:val="none" w:sz="0" w:space="0" w:color="auto"/>
              </w:divBdr>
              <w:divsChild>
                <w:div w:id="183441645">
                  <w:marLeft w:val="0"/>
                  <w:marRight w:val="0"/>
                  <w:marTop w:val="0"/>
                  <w:marBottom w:val="0"/>
                  <w:divBdr>
                    <w:top w:val="none" w:sz="0" w:space="0" w:color="auto"/>
                    <w:left w:val="none" w:sz="0" w:space="0" w:color="auto"/>
                    <w:bottom w:val="none" w:sz="0" w:space="0" w:color="auto"/>
                    <w:right w:val="none" w:sz="0" w:space="0" w:color="auto"/>
                  </w:divBdr>
                  <w:divsChild>
                    <w:div w:id="1927571894">
                      <w:marLeft w:val="0"/>
                      <w:marRight w:val="0"/>
                      <w:marTop w:val="0"/>
                      <w:marBottom w:val="0"/>
                      <w:divBdr>
                        <w:top w:val="none" w:sz="0" w:space="0" w:color="auto"/>
                        <w:left w:val="none" w:sz="0" w:space="0" w:color="auto"/>
                        <w:bottom w:val="none" w:sz="0" w:space="0" w:color="auto"/>
                        <w:right w:val="none" w:sz="0" w:space="0" w:color="auto"/>
                      </w:divBdr>
                      <w:divsChild>
                        <w:div w:id="61644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59447">
      <w:bodyDiv w:val="1"/>
      <w:marLeft w:val="0"/>
      <w:marRight w:val="0"/>
      <w:marTop w:val="0"/>
      <w:marBottom w:val="0"/>
      <w:divBdr>
        <w:top w:val="none" w:sz="0" w:space="0" w:color="auto"/>
        <w:left w:val="none" w:sz="0" w:space="0" w:color="auto"/>
        <w:bottom w:val="none" w:sz="0" w:space="0" w:color="auto"/>
        <w:right w:val="none" w:sz="0" w:space="0" w:color="auto"/>
      </w:divBdr>
      <w:divsChild>
        <w:div w:id="460153606">
          <w:marLeft w:val="0"/>
          <w:marRight w:val="0"/>
          <w:marTop w:val="0"/>
          <w:marBottom w:val="0"/>
          <w:divBdr>
            <w:top w:val="none" w:sz="0" w:space="0" w:color="auto"/>
            <w:left w:val="none" w:sz="0" w:space="0" w:color="auto"/>
            <w:bottom w:val="none" w:sz="0" w:space="0" w:color="auto"/>
            <w:right w:val="none" w:sz="0" w:space="0" w:color="auto"/>
          </w:divBdr>
        </w:div>
      </w:divsChild>
    </w:div>
    <w:div w:id="71045196">
      <w:bodyDiv w:val="1"/>
      <w:marLeft w:val="0"/>
      <w:marRight w:val="0"/>
      <w:marTop w:val="0"/>
      <w:marBottom w:val="0"/>
      <w:divBdr>
        <w:top w:val="none" w:sz="0" w:space="0" w:color="auto"/>
        <w:left w:val="none" w:sz="0" w:space="0" w:color="auto"/>
        <w:bottom w:val="none" w:sz="0" w:space="0" w:color="auto"/>
        <w:right w:val="none" w:sz="0" w:space="0" w:color="auto"/>
      </w:divBdr>
    </w:div>
    <w:div w:id="259141497">
      <w:bodyDiv w:val="1"/>
      <w:marLeft w:val="0"/>
      <w:marRight w:val="0"/>
      <w:marTop w:val="0"/>
      <w:marBottom w:val="0"/>
      <w:divBdr>
        <w:top w:val="none" w:sz="0" w:space="0" w:color="auto"/>
        <w:left w:val="none" w:sz="0" w:space="0" w:color="auto"/>
        <w:bottom w:val="none" w:sz="0" w:space="0" w:color="auto"/>
        <w:right w:val="none" w:sz="0" w:space="0" w:color="auto"/>
      </w:divBdr>
      <w:divsChild>
        <w:div w:id="393353686">
          <w:marLeft w:val="0"/>
          <w:marRight w:val="0"/>
          <w:marTop w:val="0"/>
          <w:marBottom w:val="0"/>
          <w:divBdr>
            <w:top w:val="none" w:sz="0" w:space="0" w:color="auto"/>
            <w:left w:val="none" w:sz="0" w:space="0" w:color="auto"/>
            <w:bottom w:val="none" w:sz="0" w:space="0" w:color="auto"/>
            <w:right w:val="none" w:sz="0" w:space="0" w:color="auto"/>
          </w:divBdr>
        </w:div>
        <w:div w:id="712119073">
          <w:marLeft w:val="0"/>
          <w:marRight w:val="0"/>
          <w:marTop w:val="0"/>
          <w:marBottom w:val="0"/>
          <w:divBdr>
            <w:top w:val="none" w:sz="0" w:space="0" w:color="auto"/>
            <w:left w:val="none" w:sz="0" w:space="0" w:color="auto"/>
            <w:bottom w:val="none" w:sz="0" w:space="0" w:color="auto"/>
            <w:right w:val="none" w:sz="0" w:space="0" w:color="auto"/>
          </w:divBdr>
        </w:div>
        <w:div w:id="144712677">
          <w:marLeft w:val="0"/>
          <w:marRight w:val="0"/>
          <w:marTop w:val="0"/>
          <w:marBottom w:val="0"/>
          <w:divBdr>
            <w:top w:val="none" w:sz="0" w:space="0" w:color="auto"/>
            <w:left w:val="none" w:sz="0" w:space="0" w:color="auto"/>
            <w:bottom w:val="none" w:sz="0" w:space="0" w:color="auto"/>
            <w:right w:val="none" w:sz="0" w:space="0" w:color="auto"/>
          </w:divBdr>
          <w:divsChild>
            <w:div w:id="1732654320">
              <w:marLeft w:val="0"/>
              <w:marRight w:val="0"/>
              <w:marTop w:val="0"/>
              <w:marBottom w:val="0"/>
              <w:divBdr>
                <w:top w:val="none" w:sz="0" w:space="0" w:color="auto"/>
                <w:left w:val="none" w:sz="0" w:space="0" w:color="auto"/>
                <w:bottom w:val="none" w:sz="0" w:space="0" w:color="auto"/>
                <w:right w:val="none" w:sz="0" w:space="0" w:color="auto"/>
              </w:divBdr>
            </w:div>
            <w:div w:id="1708798876">
              <w:marLeft w:val="0"/>
              <w:marRight w:val="0"/>
              <w:marTop w:val="0"/>
              <w:marBottom w:val="0"/>
              <w:divBdr>
                <w:top w:val="none" w:sz="0" w:space="0" w:color="auto"/>
                <w:left w:val="none" w:sz="0" w:space="0" w:color="auto"/>
                <w:bottom w:val="none" w:sz="0" w:space="0" w:color="auto"/>
                <w:right w:val="none" w:sz="0" w:space="0" w:color="auto"/>
              </w:divBdr>
              <w:divsChild>
                <w:div w:id="1945306729">
                  <w:marLeft w:val="0"/>
                  <w:marRight w:val="0"/>
                  <w:marTop w:val="0"/>
                  <w:marBottom w:val="0"/>
                  <w:divBdr>
                    <w:top w:val="none" w:sz="0" w:space="0" w:color="auto"/>
                    <w:left w:val="none" w:sz="0" w:space="0" w:color="auto"/>
                    <w:bottom w:val="none" w:sz="0" w:space="0" w:color="auto"/>
                    <w:right w:val="none" w:sz="0" w:space="0" w:color="auto"/>
                  </w:divBdr>
                </w:div>
              </w:divsChild>
            </w:div>
            <w:div w:id="494034324">
              <w:marLeft w:val="0"/>
              <w:marRight w:val="0"/>
              <w:marTop w:val="0"/>
              <w:marBottom w:val="0"/>
              <w:divBdr>
                <w:top w:val="none" w:sz="0" w:space="0" w:color="auto"/>
                <w:left w:val="none" w:sz="0" w:space="0" w:color="auto"/>
                <w:bottom w:val="none" w:sz="0" w:space="0" w:color="auto"/>
                <w:right w:val="none" w:sz="0" w:space="0" w:color="auto"/>
              </w:divBdr>
              <w:divsChild>
                <w:div w:id="2053767592">
                  <w:marLeft w:val="0"/>
                  <w:marRight w:val="0"/>
                  <w:marTop w:val="0"/>
                  <w:marBottom w:val="0"/>
                  <w:divBdr>
                    <w:top w:val="none" w:sz="0" w:space="0" w:color="auto"/>
                    <w:left w:val="none" w:sz="0" w:space="0" w:color="auto"/>
                    <w:bottom w:val="none" w:sz="0" w:space="0" w:color="auto"/>
                    <w:right w:val="none" w:sz="0" w:space="0" w:color="auto"/>
                  </w:divBdr>
                </w:div>
              </w:divsChild>
            </w:div>
            <w:div w:id="497697079">
              <w:marLeft w:val="0"/>
              <w:marRight w:val="0"/>
              <w:marTop w:val="0"/>
              <w:marBottom w:val="0"/>
              <w:divBdr>
                <w:top w:val="none" w:sz="0" w:space="0" w:color="auto"/>
                <w:left w:val="none" w:sz="0" w:space="0" w:color="auto"/>
                <w:bottom w:val="none" w:sz="0" w:space="0" w:color="auto"/>
                <w:right w:val="none" w:sz="0" w:space="0" w:color="auto"/>
              </w:divBdr>
            </w:div>
            <w:div w:id="2069456503">
              <w:marLeft w:val="0"/>
              <w:marRight w:val="0"/>
              <w:marTop w:val="0"/>
              <w:marBottom w:val="0"/>
              <w:divBdr>
                <w:top w:val="none" w:sz="0" w:space="0" w:color="auto"/>
                <w:left w:val="none" w:sz="0" w:space="0" w:color="auto"/>
                <w:bottom w:val="none" w:sz="0" w:space="0" w:color="auto"/>
                <w:right w:val="none" w:sz="0" w:space="0" w:color="auto"/>
              </w:divBdr>
            </w:div>
            <w:div w:id="2158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3486">
      <w:bodyDiv w:val="1"/>
      <w:marLeft w:val="0"/>
      <w:marRight w:val="0"/>
      <w:marTop w:val="0"/>
      <w:marBottom w:val="0"/>
      <w:divBdr>
        <w:top w:val="none" w:sz="0" w:space="0" w:color="auto"/>
        <w:left w:val="none" w:sz="0" w:space="0" w:color="auto"/>
        <w:bottom w:val="none" w:sz="0" w:space="0" w:color="auto"/>
        <w:right w:val="none" w:sz="0" w:space="0" w:color="auto"/>
      </w:divBdr>
    </w:div>
    <w:div w:id="306476864">
      <w:bodyDiv w:val="1"/>
      <w:marLeft w:val="0"/>
      <w:marRight w:val="0"/>
      <w:marTop w:val="0"/>
      <w:marBottom w:val="0"/>
      <w:divBdr>
        <w:top w:val="none" w:sz="0" w:space="0" w:color="auto"/>
        <w:left w:val="none" w:sz="0" w:space="0" w:color="auto"/>
        <w:bottom w:val="none" w:sz="0" w:space="0" w:color="auto"/>
        <w:right w:val="none" w:sz="0" w:space="0" w:color="auto"/>
      </w:divBdr>
    </w:div>
    <w:div w:id="373502942">
      <w:bodyDiv w:val="1"/>
      <w:marLeft w:val="0"/>
      <w:marRight w:val="0"/>
      <w:marTop w:val="0"/>
      <w:marBottom w:val="0"/>
      <w:divBdr>
        <w:top w:val="none" w:sz="0" w:space="0" w:color="auto"/>
        <w:left w:val="none" w:sz="0" w:space="0" w:color="auto"/>
        <w:bottom w:val="none" w:sz="0" w:space="0" w:color="auto"/>
        <w:right w:val="none" w:sz="0" w:space="0" w:color="auto"/>
      </w:divBdr>
    </w:div>
    <w:div w:id="374816244">
      <w:bodyDiv w:val="1"/>
      <w:marLeft w:val="0"/>
      <w:marRight w:val="0"/>
      <w:marTop w:val="0"/>
      <w:marBottom w:val="0"/>
      <w:divBdr>
        <w:top w:val="none" w:sz="0" w:space="0" w:color="auto"/>
        <w:left w:val="none" w:sz="0" w:space="0" w:color="auto"/>
        <w:bottom w:val="none" w:sz="0" w:space="0" w:color="auto"/>
        <w:right w:val="none" w:sz="0" w:space="0" w:color="auto"/>
      </w:divBdr>
      <w:divsChild>
        <w:div w:id="1736658031">
          <w:marLeft w:val="0"/>
          <w:marRight w:val="0"/>
          <w:marTop w:val="0"/>
          <w:marBottom w:val="0"/>
          <w:divBdr>
            <w:top w:val="none" w:sz="0" w:space="0" w:color="auto"/>
            <w:left w:val="none" w:sz="0" w:space="0" w:color="auto"/>
            <w:bottom w:val="none" w:sz="0" w:space="0" w:color="auto"/>
            <w:right w:val="none" w:sz="0" w:space="0" w:color="auto"/>
          </w:divBdr>
        </w:div>
        <w:div w:id="1751269185">
          <w:marLeft w:val="0"/>
          <w:marRight w:val="0"/>
          <w:marTop w:val="0"/>
          <w:marBottom w:val="0"/>
          <w:divBdr>
            <w:top w:val="none" w:sz="0" w:space="0" w:color="auto"/>
            <w:left w:val="none" w:sz="0" w:space="0" w:color="auto"/>
            <w:bottom w:val="none" w:sz="0" w:space="0" w:color="auto"/>
            <w:right w:val="none" w:sz="0" w:space="0" w:color="auto"/>
          </w:divBdr>
        </w:div>
        <w:div w:id="553084699">
          <w:marLeft w:val="0"/>
          <w:marRight w:val="0"/>
          <w:marTop w:val="0"/>
          <w:marBottom w:val="0"/>
          <w:divBdr>
            <w:top w:val="none" w:sz="0" w:space="0" w:color="auto"/>
            <w:left w:val="none" w:sz="0" w:space="0" w:color="auto"/>
            <w:bottom w:val="none" w:sz="0" w:space="0" w:color="auto"/>
            <w:right w:val="none" w:sz="0" w:space="0" w:color="auto"/>
          </w:divBdr>
          <w:divsChild>
            <w:div w:id="893002914">
              <w:marLeft w:val="0"/>
              <w:marRight w:val="0"/>
              <w:marTop w:val="0"/>
              <w:marBottom w:val="0"/>
              <w:divBdr>
                <w:top w:val="none" w:sz="0" w:space="0" w:color="auto"/>
                <w:left w:val="none" w:sz="0" w:space="0" w:color="auto"/>
                <w:bottom w:val="none" w:sz="0" w:space="0" w:color="auto"/>
                <w:right w:val="none" w:sz="0" w:space="0" w:color="auto"/>
              </w:divBdr>
            </w:div>
            <w:div w:id="1892230956">
              <w:marLeft w:val="0"/>
              <w:marRight w:val="0"/>
              <w:marTop w:val="0"/>
              <w:marBottom w:val="0"/>
              <w:divBdr>
                <w:top w:val="none" w:sz="0" w:space="0" w:color="auto"/>
                <w:left w:val="none" w:sz="0" w:space="0" w:color="auto"/>
                <w:bottom w:val="none" w:sz="0" w:space="0" w:color="auto"/>
                <w:right w:val="none" w:sz="0" w:space="0" w:color="auto"/>
              </w:divBdr>
              <w:divsChild>
                <w:div w:id="2135901842">
                  <w:marLeft w:val="0"/>
                  <w:marRight w:val="0"/>
                  <w:marTop w:val="0"/>
                  <w:marBottom w:val="0"/>
                  <w:divBdr>
                    <w:top w:val="none" w:sz="0" w:space="0" w:color="auto"/>
                    <w:left w:val="none" w:sz="0" w:space="0" w:color="auto"/>
                    <w:bottom w:val="none" w:sz="0" w:space="0" w:color="auto"/>
                    <w:right w:val="none" w:sz="0" w:space="0" w:color="auto"/>
                  </w:divBdr>
                </w:div>
              </w:divsChild>
            </w:div>
            <w:div w:id="439297286">
              <w:marLeft w:val="0"/>
              <w:marRight w:val="0"/>
              <w:marTop w:val="0"/>
              <w:marBottom w:val="0"/>
              <w:divBdr>
                <w:top w:val="none" w:sz="0" w:space="0" w:color="auto"/>
                <w:left w:val="none" w:sz="0" w:space="0" w:color="auto"/>
                <w:bottom w:val="none" w:sz="0" w:space="0" w:color="auto"/>
                <w:right w:val="none" w:sz="0" w:space="0" w:color="auto"/>
              </w:divBdr>
              <w:divsChild>
                <w:div w:id="1582645089">
                  <w:marLeft w:val="0"/>
                  <w:marRight w:val="0"/>
                  <w:marTop w:val="0"/>
                  <w:marBottom w:val="0"/>
                  <w:divBdr>
                    <w:top w:val="none" w:sz="0" w:space="0" w:color="auto"/>
                    <w:left w:val="none" w:sz="0" w:space="0" w:color="auto"/>
                    <w:bottom w:val="none" w:sz="0" w:space="0" w:color="auto"/>
                    <w:right w:val="none" w:sz="0" w:space="0" w:color="auto"/>
                  </w:divBdr>
                </w:div>
              </w:divsChild>
            </w:div>
            <w:div w:id="2008556186">
              <w:marLeft w:val="0"/>
              <w:marRight w:val="0"/>
              <w:marTop w:val="0"/>
              <w:marBottom w:val="0"/>
              <w:divBdr>
                <w:top w:val="none" w:sz="0" w:space="0" w:color="auto"/>
                <w:left w:val="none" w:sz="0" w:space="0" w:color="auto"/>
                <w:bottom w:val="none" w:sz="0" w:space="0" w:color="auto"/>
                <w:right w:val="none" w:sz="0" w:space="0" w:color="auto"/>
              </w:divBdr>
            </w:div>
            <w:div w:id="1972205111">
              <w:marLeft w:val="0"/>
              <w:marRight w:val="0"/>
              <w:marTop w:val="0"/>
              <w:marBottom w:val="0"/>
              <w:divBdr>
                <w:top w:val="none" w:sz="0" w:space="0" w:color="auto"/>
                <w:left w:val="none" w:sz="0" w:space="0" w:color="auto"/>
                <w:bottom w:val="none" w:sz="0" w:space="0" w:color="auto"/>
                <w:right w:val="none" w:sz="0" w:space="0" w:color="auto"/>
              </w:divBdr>
            </w:div>
            <w:div w:id="9590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6055">
      <w:bodyDiv w:val="1"/>
      <w:marLeft w:val="0"/>
      <w:marRight w:val="0"/>
      <w:marTop w:val="0"/>
      <w:marBottom w:val="0"/>
      <w:divBdr>
        <w:top w:val="none" w:sz="0" w:space="0" w:color="auto"/>
        <w:left w:val="none" w:sz="0" w:space="0" w:color="auto"/>
        <w:bottom w:val="none" w:sz="0" w:space="0" w:color="auto"/>
        <w:right w:val="none" w:sz="0" w:space="0" w:color="auto"/>
      </w:divBdr>
      <w:divsChild>
        <w:div w:id="1722048866">
          <w:marLeft w:val="0"/>
          <w:marRight w:val="0"/>
          <w:marTop w:val="0"/>
          <w:marBottom w:val="0"/>
          <w:divBdr>
            <w:top w:val="none" w:sz="0" w:space="0" w:color="auto"/>
            <w:left w:val="none" w:sz="0" w:space="0" w:color="auto"/>
            <w:bottom w:val="none" w:sz="0" w:space="0" w:color="auto"/>
            <w:right w:val="none" w:sz="0" w:space="0" w:color="auto"/>
          </w:divBdr>
          <w:divsChild>
            <w:div w:id="2062557351">
              <w:marLeft w:val="0"/>
              <w:marRight w:val="0"/>
              <w:marTop w:val="0"/>
              <w:marBottom w:val="0"/>
              <w:divBdr>
                <w:top w:val="none" w:sz="0" w:space="0" w:color="auto"/>
                <w:left w:val="none" w:sz="0" w:space="0" w:color="auto"/>
                <w:bottom w:val="none" w:sz="0" w:space="0" w:color="auto"/>
                <w:right w:val="none" w:sz="0" w:space="0" w:color="auto"/>
              </w:divBdr>
              <w:divsChild>
                <w:div w:id="1624532232">
                  <w:marLeft w:val="0"/>
                  <w:marRight w:val="0"/>
                  <w:marTop w:val="0"/>
                  <w:marBottom w:val="0"/>
                  <w:divBdr>
                    <w:top w:val="none" w:sz="0" w:space="0" w:color="auto"/>
                    <w:left w:val="none" w:sz="0" w:space="0" w:color="auto"/>
                    <w:bottom w:val="none" w:sz="0" w:space="0" w:color="auto"/>
                    <w:right w:val="none" w:sz="0" w:space="0" w:color="auto"/>
                  </w:divBdr>
                  <w:divsChild>
                    <w:div w:id="1098015893">
                      <w:marLeft w:val="0"/>
                      <w:marRight w:val="0"/>
                      <w:marTop w:val="0"/>
                      <w:marBottom w:val="0"/>
                      <w:divBdr>
                        <w:top w:val="none" w:sz="0" w:space="0" w:color="auto"/>
                        <w:left w:val="none" w:sz="0" w:space="0" w:color="auto"/>
                        <w:bottom w:val="none" w:sz="0" w:space="0" w:color="auto"/>
                        <w:right w:val="none" w:sz="0" w:space="0" w:color="auto"/>
                      </w:divBdr>
                      <w:divsChild>
                        <w:div w:id="180172272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2129421692">
                              <w:marLeft w:val="0"/>
                              <w:marRight w:val="0"/>
                              <w:marTop w:val="0"/>
                              <w:marBottom w:val="0"/>
                              <w:divBdr>
                                <w:top w:val="none" w:sz="0" w:space="0" w:color="auto"/>
                                <w:left w:val="none" w:sz="0" w:space="0" w:color="auto"/>
                                <w:bottom w:val="none" w:sz="0" w:space="0" w:color="auto"/>
                                <w:right w:val="none" w:sz="0" w:space="0" w:color="auto"/>
                              </w:divBdr>
                              <w:divsChild>
                                <w:div w:id="1164277611">
                                  <w:marLeft w:val="0"/>
                                  <w:marRight w:val="0"/>
                                  <w:marTop w:val="0"/>
                                  <w:marBottom w:val="0"/>
                                  <w:divBdr>
                                    <w:top w:val="none" w:sz="0" w:space="0" w:color="auto"/>
                                    <w:left w:val="none" w:sz="0" w:space="0" w:color="auto"/>
                                    <w:bottom w:val="none" w:sz="0" w:space="0" w:color="auto"/>
                                    <w:right w:val="none" w:sz="0" w:space="0" w:color="auto"/>
                                  </w:divBdr>
                                  <w:divsChild>
                                    <w:div w:id="62605025">
                                      <w:marLeft w:val="0"/>
                                      <w:marRight w:val="0"/>
                                      <w:marTop w:val="0"/>
                                      <w:marBottom w:val="0"/>
                                      <w:divBdr>
                                        <w:top w:val="none" w:sz="0" w:space="0" w:color="auto"/>
                                        <w:left w:val="none" w:sz="0" w:space="0" w:color="auto"/>
                                        <w:bottom w:val="none" w:sz="0" w:space="0" w:color="auto"/>
                                        <w:right w:val="none" w:sz="0" w:space="0" w:color="auto"/>
                                      </w:divBdr>
                                      <w:divsChild>
                                        <w:div w:id="17620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65602">
              <w:marLeft w:val="0"/>
              <w:marRight w:val="0"/>
              <w:marTop w:val="0"/>
              <w:marBottom w:val="0"/>
              <w:divBdr>
                <w:top w:val="none" w:sz="0" w:space="0" w:color="auto"/>
                <w:left w:val="none" w:sz="0" w:space="0" w:color="auto"/>
                <w:bottom w:val="none" w:sz="0" w:space="0" w:color="auto"/>
                <w:right w:val="none" w:sz="0" w:space="0" w:color="auto"/>
              </w:divBdr>
              <w:divsChild>
                <w:div w:id="1777288107">
                  <w:marLeft w:val="0"/>
                  <w:marRight w:val="0"/>
                  <w:marTop w:val="0"/>
                  <w:marBottom w:val="0"/>
                  <w:divBdr>
                    <w:top w:val="none" w:sz="0" w:space="0" w:color="auto"/>
                    <w:left w:val="none" w:sz="0" w:space="0" w:color="auto"/>
                    <w:bottom w:val="none" w:sz="0" w:space="0" w:color="auto"/>
                    <w:right w:val="none" w:sz="0" w:space="0" w:color="auto"/>
                  </w:divBdr>
                  <w:divsChild>
                    <w:div w:id="325206220">
                      <w:marLeft w:val="0"/>
                      <w:marRight w:val="0"/>
                      <w:marTop w:val="0"/>
                      <w:marBottom w:val="0"/>
                      <w:divBdr>
                        <w:top w:val="none" w:sz="0" w:space="0" w:color="auto"/>
                        <w:left w:val="none" w:sz="0" w:space="0" w:color="auto"/>
                        <w:bottom w:val="none" w:sz="0" w:space="0" w:color="auto"/>
                        <w:right w:val="none" w:sz="0" w:space="0" w:color="auto"/>
                      </w:divBdr>
                      <w:divsChild>
                        <w:div w:id="2083941738">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443843314">
                              <w:marLeft w:val="0"/>
                              <w:marRight w:val="0"/>
                              <w:marTop w:val="0"/>
                              <w:marBottom w:val="0"/>
                              <w:divBdr>
                                <w:top w:val="none" w:sz="0" w:space="0" w:color="auto"/>
                                <w:left w:val="none" w:sz="0" w:space="0" w:color="auto"/>
                                <w:bottom w:val="none" w:sz="0" w:space="0" w:color="auto"/>
                                <w:right w:val="none" w:sz="0" w:space="0" w:color="auto"/>
                              </w:divBdr>
                              <w:divsChild>
                                <w:div w:id="1981693238">
                                  <w:marLeft w:val="0"/>
                                  <w:marRight w:val="0"/>
                                  <w:marTop w:val="0"/>
                                  <w:marBottom w:val="0"/>
                                  <w:divBdr>
                                    <w:top w:val="none" w:sz="0" w:space="0" w:color="auto"/>
                                    <w:left w:val="none" w:sz="0" w:space="0" w:color="auto"/>
                                    <w:bottom w:val="none" w:sz="0" w:space="0" w:color="auto"/>
                                    <w:right w:val="none" w:sz="0" w:space="0" w:color="auto"/>
                                  </w:divBdr>
                                  <w:divsChild>
                                    <w:div w:id="10664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688922">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654144840">
      <w:bodyDiv w:val="1"/>
      <w:marLeft w:val="0"/>
      <w:marRight w:val="0"/>
      <w:marTop w:val="0"/>
      <w:marBottom w:val="0"/>
      <w:divBdr>
        <w:top w:val="none" w:sz="0" w:space="0" w:color="auto"/>
        <w:left w:val="none" w:sz="0" w:space="0" w:color="auto"/>
        <w:bottom w:val="none" w:sz="0" w:space="0" w:color="auto"/>
        <w:right w:val="none" w:sz="0" w:space="0" w:color="auto"/>
      </w:divBdr>
    </w:div>
    <w:div w:id="749547913">
      <w:bodyDiv w:val="1"/>
      <w:marLeft w:val="0"/>
      <w:marRight w:val="0"/>
      <w:marTop w:val="0"/>
      <w:marBottom w:val="0"/>
      <w:divBdr>
        <w:top w:val="none" w:sz="0" w:space="0" w:color="auto"/>
        <w:left w:val="none" w:sz="0" w:space="0" w:color="auto"/>
        <w:bottom w:val="none" w:sz="0" w:space="0" w:color="auto"/>
        <w:right w:val="none" w:sz="0" w:space="0" w:color="auto"/>
      </w:divBdr>
      <w:divsChild>
        <w:div w:id="73901588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74476362">
              <w:marLeft w:val="0"/>
              <w:marRight w:val="0"/>
              <w:marTop w:val="0"/>
              <w:marBottom w:val="0"/>
              <w:divBdr>
                <w:top w:val="none" w:sz="0" w:space="0" w:color="auto"/>
                <w:left w:val="none" w:sz="0" w:space="0" w:color="auto"/>
                <w:bottom w:val="none" w:sz="0" w:space="0" w:color="auto"/>
                <w:right w:val="none" w:sz="0" w:space="0" w:color="auto"/>
              </w:divBdr>
              <w:divsChild>
                <w:div w:id="2075276088">
                  <w:marLeft w:val="0"/>
                  <w:marRight w:val="0"/>
                  <w:marTop w:val="0"/>
                  <w:marBottom w:val="0"/>
                  <w:divBdr>
                    <w:top w:val="none" w:sz="0" w:space="0" w:color="auto"/>
                    <w:left w:val="none" w:sz="0" w:space="0" w:color="auto"/>
                    <w:bottom w:val="none" w:sz="0" w:space="0" w:color="auto"/>
                    <w:right w:val="none" w:sz="0" w:space="0" w:color="auto"/>
                  </w:divBdr>
                  <w:divsChild>
                    <w:div w:id="568613574">
                      <w:marLeft w:val="0"/>
                      <w:marRight w:val="0"/>
                      <w:marTop w:val="0"/>
                      <w:marBottom w:val="0"/>
                      <w:divBdr>
                        <w:top w:val="none" w:sz="0" w:space="0" w:color="auto"/>
                        <w:left w:val="none" w:sz="0" w:space="0" w:color="auto"/>
                        <w:bottom w:val="none" w:sz="0" w:space="0" w:color="auto"/>
                        <w:right w:val="none" w:sz="0" w:space="0" w:color="auto"/>
                      </w:divBdr>
                      <w:divsChild>
                        <w:div w:id="15364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798570570">
      <w:bodyDiv w:val="1"/>
      <w:marLeft w:val="0"/>
      <w:marRight w:val="0"/>
      <w:marTop w:val="0"/>
      <w:marBottom w:val="0"/>
      <w:divBdr>
        <w:top w:val="none" w:sz="0" w:space="0" w:color="auto"/>
        <w:left w:val="none" w:sz="0" w:space="0" w:color="auto"/>
        <w:bottom w:val="none" w:sz="0" w:space="0" w:color="auto"/>
        <w:right w:val="none" w:sz="0" w:space="0" w:color="auto"/>
      </w:divBdr>
      <w:divsChild>
        <w:div w:id="6157229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290742331">
              <w:marLeft w:val="0"/>
              <w:marRight w:val="0"/>
              <w:marTop w:val="0"/>
              <w:marBottom w:val="0"/>
              <w:divBdr>
                <w:top w:val="none" w:sz="0" w:space="0" w:color="auto"/>
                <w:left w:val="none" w:sz="0" w:space="0" w:color="auto"/>
                <w:bottom w:val="none" w:sz="0" w:space="0" w:color="auto"/>
                <w:right w:val="none" w:sz="0" w:space="0" w:color="auto"/>
              </w:divBdr>
              <w:divsChild>
                <w:div w:id="1682925921">
                  <w:marLeft w:val="0"/>
                  <w:marRight w:val="0"/>
                  <w:marTop w:val="0"/>
                  <w:marBottom w:val="0"/>
                  <w:divBdr>
                    <w:top w:val="none" w:sz="0" w:space="0" w:color="auto"/>
                    <w:left w:val="none" w:sz="0" w:space="0" w:color="auto"/>
                    <w:bottom w:val="none" w:sz="0" w:space="0" w:color="auto"/>
                    <w:right w:val="none" w:sz="0" w:space="0" w:color="auto"/>
                  </w:divBdr>
                  <w:divsChild>
                    <w:div w:id="295834728">
                      <w:marLeft w:val="0"/>
                      <w:marRight w:val="0"/>
                      <w:marTop w:val="0"/>
                      <w:marBottom w:val="0"/>
                      <w:divBdr>
                        <w:top w:val="none" w:sz="0" w:space="0" w:color="auto"/>
                        <w:left w:val="none" w:sz="0" w:space="0" w:color="auto"/>
                        <w:bottom w:val="none" w:sz="0" w:space="0" w:color="auto"/>
                        <w:right w:val="none" w:sz="0" w:space="0" w:color="auto"/>
                      </w:divBdr>
                      <w:divsChild>
                        <w:div w:id="4870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014536">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36377">
      <w:bodyDiv w:val="1"/>
      <w:marLeft w:val="0"/>
      <w:marRight w:val="0"/>
      <w:marTop w:val="0"/>
      <w:marBottom w:val="0"/>
      <w:divBdr>
        <w:top w:val="none" w:sz="0" w:space="0" w:color="auto"/>
        <w:left w:val="none" w:sz="0" w:space="0" w:color="auto"/>
        <w:bottom w:val="none" w:sz="0" w:space="0" w:color="auto"/>
        <w:right w:val="none" w:sz="0" w:space="0" w:color="auto"/>
      </w:divBdr>
      <w:divsChild>
        <w:div w:id="1138109802">
          <w:marLeft w:val="0"/>
          <w:marRight w:val="0"/>
          <w:marTop w:val="0"/>
          <w:marBottom w:val="0"/>
          <w:divBdr>
            <w:top w:val="none" w:sz="0" w:space="0" w:color="auto"/>
            <w:left w:val="none" w:sz="0" w:space="0" w:color="auto"/>
            <w:bottom w:val="none" w:sz="0" w:space="0" w:color="auto"/>
            <w:right w:val="none" w:sz="0" w:space="0" w:color="auto"/>
          </w:divBdr>
        </w:div>
      </w:divsChild>
    </w:div>
    <w:div w:id="1252160783">
      <w:bodyDiv w:val="1"/>
      <w:marLeft w:val="0"/>
      <w:marRight w:val="0"/>
      <w:marTop w:val="0"/>
      <w:marBottom w:val="0"/>
      <w:divBdr>
        <w:top w:val="none" w:sz="0" w:space="0" w:color="auto"/>
        <w:left w:val="none" w:sz="0" w:space="0" w:color="auto"/>
        <w:bottom w:val="none" w:sz="0" w:space="0" w:color="auto"/>
        <w:right w:val="none" w:sz="0" w:space="0" w:color="auto"/>
      </w:divBdr>
    </w:div>
    <w:div w:id="1326712274">
      <w:bodyDiv w:val="1"/>
      <w:marLeft w:val="0"/>
      <w:marRight w:val="0"/>
      <w:marTop w:val="0"/>
      <w:marBottom w:val="0"/>
      <w:divBdr>
        <w:top w:val="none" w:sz="0" w:space="0" w:color="auto"/>
        <w:left w:val="none" w:sz="0" w:space="0" w:color="auto"/>
        <w:bottom w:val="none" w:sz="0" w:space="0" w:color="auto"/>
        <w:right w:val="none" w:sz="0" w:space="0" w:color="auto"/>
      </w:divBdr>
    </w:div>
    <w:div w:id="1389108866">
      <w:bodyDiv w:val="1"/>
      <w:marLeft w:val="0"/>
      <w:marRight w:val="0"/>
      <w:marTop w:val="0"/>
      <w:marBottom w:val="0"/>
      <w:divBdr>
        <w:top w:val="none" w:sz="0" w:space="0" w:color="auto"/>
        <w:left w:val="none" w:sz="0" w:space="0" w:color="auto"/>
        <w:bottom w:val="none" w:sz="0" w:space="0" w:color="auto"/>
        <w:right w:val="none" w:sz="0" w:space="0" w:color="auto"/>
      </w:divBdr>
      <w:divsChild>
        <w:div w:id="4433517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484784756">
              <w:marLeft w:val="0"/>
              <w:marRight w:val="0"/>
              <w:marTop w:val="0"/>
              <w:marBottom w:val="0"/>
              <w:divBdr>
                <w:top w:val="none" w:sz="0" w:space="0" w:color="auto"/>
                <w:left w:val="none" w:sz="0" w:space="0" w:color="auto"/>
                <w:bottom w:val="none" w:sz="0" w:space="0" w:color="auto"/>
                <w:right w:val="none" w:sz="0" w:space="0" w:color="auto"/>
              </w:divBdr>
              <w:divsChild>
                <w:div w:id="1471166785">
                  <w:marLeft w:val="0"/>
                  <w:marRight w:val="0"/>
                  <w:marTop w:val="0"/>
                  <w:marBottom w:val="0"/>
                  <w:divBdr>
                    <w:top w:val="none" w:sz="0" w:space="0" w:color="auto"/>
                    <w:left w:val="none" w:sz="0" w:space="0" w:color="auto"/>
                    <w:bottom w:val="none" w:sz="0" w:space="0" w:color="auto"/>
                    <w:right w:val="none" w:sz="0" w:space="0" w:color="auto"/>
                  </w:divBdr>
                  <w:divsChild>
                    <w:div w:id="3353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588462842">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 w:id="1726373239">
      <w:bodyDiv w:val="1"/>
      <w:marLeft w:val="0"/>
      <w:marRight w:val="0"/>
      <w:marTop w:val="0"/>
      <w:marBottom w:val="0"/>
      <w:divBdr>
        <w:top w:val="none" w:sz="0" w:space="0" w:color="auto"/>
        <w:left w:val="none" w:sz="0" w:space="0" w:color="auto"/>
        <w:bottom w:val="none" w:sz="0" w:space="0" w:color="auto"/>
        <w:right w:val="none" w:sz="0" w:space="0" w:color="auto"/>
      </w:divBdr>
    </w:div>
    <w:div w:id="1812820155">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darkreading.com/vulnerabilities-threats/35k-solar-devices-internet-exposure-hijacking?utm_source=chatgpt.com" TargetMode="External"/><Relationship Id="rId4" Type="http://schemas.openxmlformats.org/officeDocument/2006/relationships/hyperlink" Target="https://www.reuters.com/sustainability/climate-energy/ghost-machine-rogue-communication-devices-found-chinese-inverters-2025-05-14/?utm_source=chatgpt.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695</Words>
  <Characters>4101</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4787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4</cp:revision>
  <dcterms:created xsi:type="dcterms:W3CDTF">2025-09-27T06:20:00Z</dcterms:created>
  <dcterms:modified xsi:type="dcterms:W3CDTF">2025-10-02T14:43:00Z</dcterms:modified>
  <cp:category/>
</cp:coreProperties>
</file>