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F0AE6" w14:textId="6AEF5679" w:rsidR="001A2D93" w:rsidRPr="001A2D93" w:rsidRDefault="001A2D93" w:rsidP="001A2D93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000000"/>
          <w:sz w:val="28"/>
          <w:szCs w:val="28"/>
        </w:rPr>
      </w:pPr>
      <w:r w:rsidRPr="001A2D93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Průměrná sazba hypoték v únoru zůstala na úrovni 4,93 %.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br/>
      </w:r>
      <w:r>
        <w:rPr>
          <w:rFonts w:ascii="Arial" w:hAnsi="Arial" w:cs="Arial"/>
          <w:b/>
          <w:bCs/>
          <w:color w:val="000000"/>
          <w:sz w:val="28"/>
          <w:szCs w:val="28"/>
        </w:rPr>
        <w:t>P</w:t>
      </w:r>
      <w:r w:rsidRPr="001A2D93">
        <w:rPr>
          <w:rFonts w:ascii="Arial" w:hAnsi="Arial" w:cs="Arial"/>
          <w:b/>
          <w:bCs/>
          <w:color w:val="000000"/>
          <w:sz w:val="28"/>
          <w:szCs w:val="28"/>
        </w:rPr>
        <w:t>roč vlastní kapitál rozhoduje víc než kdy dřív</w:t>
      </w:r>
    </w:p>
    <w:p w14:paraId="43875D79" w14:textId="1368AA29" w:rsidR="001A2D93" w:rsidRPr="001A2D93" w:rsidRDefault="001A2D93" w:rsidP="001A2D9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Praha, </w:t>
      </w:r>
      <w:r w:rsidR="007E67D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23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. února 2026 - Výše vlastních úspor hraje při sjednávání hypotéky v roce 2026 zásadní roli. Nejde přitom jen o splnění formálních požadavků banky, ale o jeden z nejdůležitějších faktorů, který přímo ovlivňuje úrokovou sazbu, celkovou cenu úvěru i smluvní podmínky. Čím více vlastních peněz klient do nákupu nemovitosti vloží, tím menší riziko pro banku představuje – a to se promítá do konkrétních čísel.</w:t>
      </w:r>
    </w:p>
    <w:p w14:paraId="3B19CBEA" w14:textId="77777777" w:rsidR="001A2D93" w:rsidRPr="001A2D93" w:rsidRDefault="001A2D93" w:rsidP="001A2D9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Banky dnes mnohem citlivěji rozlišují mezi klienty, kteří financují nákup „na hraně“, a těmi, kteří mají solidní finanční rezervu. Rozdíl mezi hypotékou s minimálními vlastními prostředky a úvěrem s vyšším podílem vlastního kapitálu může znamenat nejen nižší úrokovou sazbu, ale také vyšší šanci na schválení úvěru, menší tlak na dodatečné zajištění nebo větší flexibilitu při splácení.</w:t>
      </w:r>
    </w:p>
    <w:p w14:paraId="1CE336DA" w14:textId="7F273BB0" w:rsidR="001A2D93" w:rsidRPr="001A2D93" w:rsidRDefault="001A2D93" w:rsidP="001A2D93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Proč banky vlastní kapitál tolik řeší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  <w:t>„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 pohledu banky je vlastní kapitál klienta klíčovým ukazatelem rizika. Pokud kupující vloží do nemovitosti větší část vlastních peněz, snižuje se poměr úvěru k hodnotě nemovitosti (tzv. LTV). To znamená, že i v případě poklesu cen nemovitostí nebo finančních potíží klienta je pro banku úvěr lépe krytý,“ říká Pavel Janeček z </w:t>
      </w:r>
      <w:hyperlink r:id="rId4" w:history="1">
        <w:r w:rsidRPr="001A2D93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Royal Bridge Partners</w:t>
        </w:r>
      </w:hyperlink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dodává: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„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 praxi to funguje jednoduše: nižší riziko pro banku = lepší nabídka pro klienta. Rozdíly v sazbách mezi hypotékami s vyšším a nižším LTV se v roce 2026 pohybují klidně v řádu několika desetin procentního bodu, což při dlouhodobém úvěru znamená statisíce korun navíc nebo naopak ušetřených.“</w:t>
      </w:r>
    </w:p>
    <w:p w14:paraId="4A32B8BB" w14:textId="4FB0CF4E" w:rsidR="001A2D93" w:rsidRPr="001A2D93" w:rsidRDefault="001A2D93" w:rsidP="001A2D93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Platilo to vždy, nebo je to novinka?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Základní princip – že více vlastních peněz znamená lepší podmínky – platil vždy. Nové však je, jak silně se tento rozdíl v posledních letech prohloubil. Zatímco dříve banky často nabízely velmi podobné sazby i klientům s minimálními úsporami, dnes jsou rozdíly výraznější a systematičtější.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Zároveň se ustálila pravidla, která určují minimální podíl vlastních zdrojů. Většina bank se drží hranice 80 % LTV jako standardu, přičemž vyšší financování je buď výrazně dražší, nebo dostupné jen omezenému okruhu klientů. Výjimky existují, ale jsou méně časté než v letech před růstem úrokových sazeb.</w:t>
      </w:r>
    </w:p>
    <w:p w14:paraId="558E1A3F" w14:textId="26B3E15E" w:rsidR="001A2D93" w:rsidRPr="001A2D93" w:rsidRDefault="001A2D93" w:rsidP="001A2D93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Vyplatí se s hypotékou počkat?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„Pro řadu domácností se tak v roce 2026 otevírá strategická otázka: zda jít do hypotéky co nejdříve, nebo si dát čas na vytvoření vyšší rezervy. Odklad nákupu o rok či dva může znamenat nejen vyšší vlastní vklad, ale i lepší vyjednávací pozici vůči bance. To platí zejména v situaci, kdy ceny nemovitostí rostou pomaleji než v minulosti, zatímco rozdíly v úrokových sazbách podle LTV zůstávají výrazné,“ říká Pavel Janeček z </w:t>
      </w:r>
      <w:hyperlink r:id="rId5" w:history="1">
        <w:r w:rsidRPr="001A2D93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Royal Bridge Partners</w:t>
        </w:r>
      </w:hyperlink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dodává: </w:t>
      </w:r>
      <w:r w:rsidRPr="001A2D9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„</w:t>
      </w:r>
      <w:r w:rsidRPr="001A2D9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Vlastní úspory dnes nejsou jen nutným vstupním kapitálem, ale jedním z hlavních nástrojů, jak dlouhodobě snížit náklady na bydlení. Pro mnoho žadatelů se tak hypotéka stává nejen otázkou výše příjmu, ale především finanční disciplíny a schopnosti plánovat dopředu.“</w:t>
      </w:r>
    </w:p>
    <w:p w14:paraId="05D2C1C5" w14:textId="72AF7AD0" w:rsidR="001A2D93" w:rsidRPr="001A2D93" w:rsidRDefault="001A2D93" w:rsidP="001A2D93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1A2D93">
        <w:rPr>
          <w:rFonts w:ascii="Arial" w:hAnsi="Arial" w:cs="Arial"/>
          <w:b/>
          <w:bCs/>
          <w:color w:val="000000"/>
          <w:sz w:val="20"/>
          <w:szCs w:val="20"/>
        </w:rPr>
        <w:t>Jaká je situace na trhu?</w:t>
      </w:r>
      <w:r w:rsidRPr="001A2D93"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Pr="001A2D93">
        <w:rPr>
          <w:rFonts w:ascii="Arial" w:hAnsi="Arial" w:cs="Arial"/>
          <w:color w:val="000000"/>
          <w:sz w:val="20"/>
          <w:szCs w:val="20"/>
        </w:rPr>
        <w:t>Průměrná sazba hypoték v únoru zůstala na úrovni 4,93 %, potvrdila tak přechod trhu do fáze stability. Prudké výkyvy, které charakterizovaly předchozí období, odezněly. Tento „nový normál“ ale neznamená plošné zlevňování. Naopak se dál rozevírají rozdíly mezi jednotlivými bankami i typy fixací. Zatímco krátkodobé fixace slouží jako nástroj k oživení poptávky, u pětiletých a desetiletých fixací banky postupně přitvrzují. I zdánlivě malý rozdíl v sazbě se přitom při dlouhé splatnosti promítá do citelně vyšších celkových nákladů.</w:t>
      </w:r>
    </w:p>
    <w:p w14:paraId="0160438A" w14:textId="66E8BC03" w:rsidR="001A2D93" w:rsidRPr="001A2D93" w:rsidRDefault="001A2D93" w:rsidP="001A2D93">
      <w:pPr>
        <w:pStyle w:val="Normln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„</w:t>
      </w:r>
      <w:r w:rsidRPr="001A2D93">
        <w:rPr>
          <w:rFonts w:ascii="Arial" w:hAnsi="Arial" w:cs="Arial"/>
          <w:color w:val="000000"/>
          <w:sz w:val="20"/>
          <w:szCs w:val="20"/>
        </w:rPr>
        <w:t>Právě v tomto prostředí získávají vlastní úspory ještě větší význam než dříve. Vyšší podíl vlastního kapitálu nejen snižuje měsíční splátku, ale zároveň dává klientovi větší volnost při volbě fixace i banky. Zatímco u minimálních vkladů je strategie často vynucená nabídkou trhu, klient s dostatečnými rezervami může lépe reagovat na rozdíly v sazbách a regulaci. Hypotéka se tak v roce 2026 stává méně otázkou „zda dosáhnu na úvěr“ a více otázkou „za jakých podmínek a s jakým dlouhodobým dopadem na rodinný rozpočet</w:t>
      </w:r>
      <w:r>
        <w:rPr>
          <w:rFonts w:ascii="Arial" w:hAnsi="Arial" w:cs="Arial"/>
          <w:color w:val="000000"/>
          <w:sz w:val="20"/>
          <w:szCs w:val="20"/>
        </w:rPr>
        <w:t>,“ dodává</w:t>
      </w:r>
      <w:r w:rsidRPr="001A2D93">
        <w:rPr>
          <w:rFonts w:ascii="Arial" w:hAnsi="Arial" w:cs="Arial"/>
          <w:color w:val="000000"/>
          <w:sz w:val="20"/>
          <w:szCs w:val="20"/>
        </w:rPr>
        <w:t xml:space="preserve"> Pavel Janeček z </w:t>
      </w:r>
      <w:hyperlink r:id="rId6" w:history="1">
        <w:r w:rsidRPr="001A2D93">
          <w:rPr>
            <w:rStyle w:val="Hypertextovodkaz"/>
            <w:rFonts w:ascii="Arial" w:hAnsi="Arial" w:cs="Arial"/>
            <w:sz w:val="20"/>
            <w:szCs w:val="20"/>
          </w:rPr>
          <w:t>Royal Bridge Partners</w:t>
        </w:r>
      </w:hyperlink>
    </w:p>
    <w:p w14:paraId="2B02249D" w14:textId="77777777" w:rsidR="00DA4CF8" w:rsidRPr="001A2D93" w:rsidRDefault="00DA4CF8">
      <w:pPr>
        <w:rPr>
          <w:rFonts w:ascii="Arial" w:hAnsi="Arial" w:cs="Arial"/>
          <w:sz w:val="20"/>
          <w:szCs w:val="20"/>
        </w:rPr>
      </w:pPr>
    </w:p>
    <w:sectPr w:rsidR="00DA4CF8" w:rsidRPr="001A2D93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D93"/>
    <w:rsid w:val="00113020"/>
    <w:rsid w:val="00193F80"/>
    <w:rsid w:val="001A2D93"/>
    <w:rsid w:val="0033169E"/>
    <w:rsid w:val="00485391"/>
    <w:rsid w:val="004A6749"/>
    <w:rsid w:val="004F52C3"/>
    <w:rsid w:val="007E67D4"/>
    <w:rsid w:val="00A5741F"/>
    <w:rsid w:val="00AC104E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07D6A"/>
  <w15:chartTrackingRefBased/>
  <w15:docId w15:val="{959E7C51-7C84-254A-82F7-F7044A38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A2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2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2D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2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2D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2D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2D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2D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2D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A2D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1A2D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2D9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2D9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2D9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2D9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2D9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2D9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2D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A2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2D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A2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2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A2D9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2D9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A2D9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2D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2D9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2D9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1A2D9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1A2D93"/>
  </w:style>
  <w:style w:type="character" w:styleId="Siln">
    <w:name w:val="Strong"/>
    <w:basedOn w:val="Standardnpsmoodstavce"/>
    <w:uiPriority w:val="22"/>
    <w:qFormat/>
    <w:rsid w:val="001A2D93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A2D9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A2D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yalbridgepartners.cz/" TargetMode="External"/><Relationship Id="rId5" Type="http://schemas.openxmlformats.org/officeDocument/2006/relationships/hyperlink" Target="https://www.royalbridgepartners.cz/" TargetMode="External"/><Relationship Id="rId4" Type="http://schemas.openxmlformats.org/officeDocument/2006/relationships/hyperlink" Target="https://www.royalbridgepartners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2026-02-23T13:33:00Z</dcterms:created>
  <dcterms:modified xsi:type="dcterms:W3CDTF">2026-02-23T13:47:00Z</dcterms:modified>
</cp:coreProperties>
</file>