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C2323" w14:textId="6FFAB3CF" w:rsidR="00E53661" w:rsidRDefault="00E53661" w:rsidP="00E53661">
      <w:pPr>
        <w:pStyle w:val="Nadpis1"/>
      </w:pPr>
      <w:r w:rsidRPr="00E53661">
        <w:t xml:space="preserve">Centropol </w:t>
      </w:r>
      <w:r w:rsidR="00516F38">
        <w:t>i přes blízkovýchodní krizi</w:t>
      </w:r>
      <w:r w:rsidR="00244D6C">
        <w:t xml:space="preserve"> drží ceny energií</w:t>
      </w:r>
      <w:r w:rsidR="002E536C">
        <w:t xml:space="preserve">. </w:t>
      </w:r>
      <w:r w:rsidR="007C7DC3">
        <w:t xml:space="preserve">Prognóza </w:t>
      </w:r>
      <w:r w:rsidR="00FD3077">
        <w:t xml:space="preserve">růstu cen na velkoobchodních trzích se naplňuje. </w:t>
      </w:r>
    </w:p>
    <w:p w14:paraId="3D29E770" w14:textId="77777777" w:rsidR="006B6602" w:rsidRDefault="006B6602" w:rsidP="006B6602"/>
    <w:p w14:paraId="2715003A" w14:textId="7FD0F2B3" w:rsidR="006B6602" w:rsidRDefault="00CF02FD" w:rsidP="003A58C7">
      <w:pPr>
        <w:pStyle w:val="Odstavecseseznamem"/>
        <w:numPr>
          <w:ilvl w:val="0"/>
          <w:numId w:val="7"/>
        </w:numPr>
      </w:pPr>
      <w:r>
        <w:t>Elektřina od 2 </w:t>
      </w:r>
      <w:r w:rsidR="00B51517">
        <w:t>4</w:t>
      </w:r>
      <w:r w:rsidR="00C97456">
        <w:t>19</w:t>
      </w:r>
      <w:r w:rsidR="00B51517">
        <w:t xml:space="preserve"> </w:t>
      </w:r>
      <w:r>
        <w:t>Kč/MWh bez DPH</w:t>
      </w:r>
    </w:p>
    <w:p w14:paraId="38DB5B56" w14:textId="0DFBA974" w:rsidR="00CF02FD" w:rsidRDefault="00CF02FD" w:rsidP="003A58C7">
      <w:pPr>
        <w:pStyle w:val="Odstavecseseznamem"/>
        <w:numPr>
          <w:ilvl w:val="0"/>
          <w:numId w:val="7"/>
        </w:numPr>
      </w:pPr>
      <w:r>
        <w:t xml:space="preserve">Plyn </w:t>
      </w:r>
      <w:r w:rsidR="00256FA4">
        <w:t xml:space="preserve">za </w:t>
      </w:r>
      <w:r>
        <w:t>87</w:t>
      </w:r>
      <w:r w:rsidR="00D37E32">
        <w:t>5</w:t>
      </w:r>
      <w:r>
        <w:t xml:space="preserve"> Kč/MWh bez DPH</w:t>
      </w:r>
    </w:p>
    <w:p w14:paraId="02CB92E5" w14:textId="7A9D8D02" w:rsidR="00CF02FD" w:rsidRPr="006B6602" w:rsidRDefault="004870CC" w:rsidP="004870CC">
      <w:pPr>
        <w:pStyle w:val="Odstavecseseznamem"/>
        <w:numPr>
          <w:ilvl w:val="0"/>
          <w:numId w:val="7"/>
        </w:numPr>
      </w:pPr>
      <w:r>
        <w:t xml:space="preserve">Fixace ceny </w:t>
      </w:r>
      <w:r w:rsidR="002C00BC">
        <w:t>chrání před výkyvy velkoobchodních trhů</w:t>
      </w:r>
    </w:p>
    <w:p w14:paraId="68EC4BCC" w14:textId="77777777" w:rsidR="00E53661" w:rsidRPr="00E53661" w:rsidRDefault="00E53661" w:rsidP="00E53661"/>
    <w:p w14:paraId="49C7929C" w14:textId="367E3EF4" w:rsidR="00E53661" w:rsidRPr="008C6A43" w:rsidRDefault="00E53661" w:rsidP="00C12686">
      <w:pPr>
        <w:rPr>
          <w:b/>
          <w:bCs/>
        </w:rPr>
      </w:pPr>
      <w:r w:rsidRPr="00C12686">
        <w:rPr>
          <w:b/>
          <w:bCs/>
        </w:rPr>
        <w:t xml:space="preserve">Praha, </w:t>
      </w:r>
      <w:r w:rsidR="00E5352A">
        <w:rPr>
          <w:b/>
          <w:bCs/>
        </w:rPr>
        <w:t>1</w:t>
      </w:r>
      <w:r w:rsidR="002E3FFA">
        <w:rPr>
          <w:b/>
          <w:bCs/>
        </w:rPr>
        <w:t>6</w:t>
      </w:r>
      <w:r w:rsidRPr="00C12686">
        <w:rPr>
          <w:b/>
          <w:bCs/>
        </w:rPr>
        <w:t xml:space="preserve">. </w:t>
      </w:r>
      <w:r w:rsidR="0031705A">
        <w:rPr>
          <w:b/>
          <w:bCs/>
        </w:rPr>
        <w:t>července</w:t>
      </w:r>
      <w:r w:rsidRPr="00C12686">
        <w:rPr>
          <w:b/>
          <w:bCs/>
        </w:rPr>
        <w:t xml:space="preserve"> 2026 – </w:t>
      </w:r>
      <w:r w:rsidR="008C6A43" w:rsidRPr="008C6A43">
        <w:rPr>
          <w:b/>
          <w:bCs/>
        </w:rPr>
        <w:t xml:space="preserve">Opětovné vyhrocení konfliktu na Blízkém východě a pokračující ozbrojené střety v regionu </w:t>
      </w:r>
      <w:r w:rsidR="003152B9">
        <w:rPr>
          <w:b/>
          <w:bCs/>
        </w:rPr>
        <w:t>prohlubují</w:t>
      </w:r>
      <w:r w:rsidR="008C6A43" w:rsidRPr="008C6A43">
        <w:rPr>
          <w:b/>
          <w:bCs/>
        </w:rPr>
        <w:t xml:space="preserve"> neklid na světových energetických trzích. Velkoobchodní ceny elektřiny a zemního plynu reagují na geopolitické riziko zvýšenou volatilitou. Společnost </w:t>
      </w:r>
      <w:r w:rsidR="00FC47A8">
        <w:rPr>
          <w:b/>
          <w:bCs/>
        </w:rPr>
        <w:t>Centropol</w:t>
      </w:r>
      <w:r w:rsidR="008C6A43" w:rsidRPr="008C6A43">
        <w:rPr>
          <w:b/>
          <w:bCs/>
        </w:rPr>
        <w:t xml:space="preserve"> ceny pro své zákazníky nemění a nadále je drží na úrovni </w:t>
      </w:r>
      <w:r w:rsidR="00FC47A8">
        <w:rPr>
          <w:b/>
          <w:bCs/>
        </w:rPr>
        <w:t xml:space="preserve">platné </w:t>
      </w:r>
      <w:r w:rsidR="008C6A43" w:rsidRPr="008C6A43">
        <w:rPr>
          <w:b/>
          <w:bCs/>
        </w:rPr>
        <w:t>před začátkem letošní blízkovýchodní krize.</w:t>
      </w:r>
    </w:p>
    <w:p w14:paraId="5E1065D3" w14:textId="77777777" w:rsidR="00C12686" w:rsidRPr="00E53661" w:rsidRDefault="00C12686" w:rsidP="00C12686"/>
    <w:p w14:paraId="6CC44B06" w14:textId="15CD0C79" w:rsidR="00D433AC" w:rsidRDefault="00CB62E3" w:rsidP="00E53661">
      <w:r w:rsidRPr="0022683B">
        <w:rPr>
          <w:i/>
          <w:iCs/>
        </w:rPr>
        <w:t>„Energetické trhy opět znervózňují nové události na Blízkém východě. Zatímco velkoobchodní ceny energií zůstávají pod tlakem geopolitických rizik, zákazníci Centropolu platí stejné ceny jako před vypuknutím konfliktu</w:t>
      </w:r>
      <w:r w:rsidR="00FA4401">
        <w:rPr>
          <w:i/>
          <w:iCs/>
        </w:rPr>
        <w:t xml:space="preserve"> anebo nižší</w:t>
      </w:r>
      <w:r w:rsidRPr="0022683B">
        <w:rPr>
          <w:i/>
          <w:iCs/>
        </w:rPr>
        <w:t xml:space="preserve">. Díky dopředným nákupům energií jsme </w:t>
      </w:r>
      <w:r w:rsidR="00FA4401">
        <w:rPr>
          <w:i/>
          <w:iCs/>
        </w:rPr>
        <w:t xml:space="preserve">zvýšení </w:t>
      </w:r>
      <w:r w:rsidRPr="0022683B">
        <w:rPr>
          <w:i/>
          <w:iCs/>
        </w:rPr>
        <w:t xml:space="preserve">nemuseli </w:t>
      </w:r>
      <w:r w:rsidR="00950EFC">
        <w:rPr>
          <w:i/>
          <w:iCs/>
        </w:rPr>
        <w:t xml:space="preserve">oznamovat </w:t>
      </w:r>
      <w:r w:rsidRPr="0022683B">
        <w:rPr>
          <w:i/>
          <w:iCs/>
        </w:rPr>
        <w:t>a ani nyní změn</w:t>
      </w:r>
      <w:r w:rsidR="004A095E">
        <w:rPr>
          <w:i/>
          <w:iCs/>
        </w:rPr>
        <w:t>y</w:t>
      </w:r>
      <w:r w:rsidRPr="0022683B">
        <w:rPr>
          <w:i/>
          <w:iCs/>
        </w:rPr>
        <w:t xml:space="preserve"> cen nepřipravujeme,“</w:t>
      </w:r>
      <w:r w:rsidRPr="00737220">
        <w:t xml:space="preserve"> říká Jiří Matoušek, člen správní rady společnosti</w:t>
      </w:r>
      <w:r w:rsidR="00360EE6">
        <w:t xml:space="preserve"> </w:t>
      </w:r>
      <w:r w:rsidR="00360EE6" w:rsidRPr="00360EE6">
        <w:t>CENTROPOL ENERGY</w:t>
      </w:r>
      <w:r w:rsidRPr="00737220">
        <w:t>.</w:t>
      </w:r>
    </w:p>
    <w:p w14:paraId="2AB099B5" w14:textId="77777777" w:rsidR="00CB62E3" w:rsidRDefault="00CB62E3" w:rsidP="00E53661"/>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2790"/>
        <w:gridCol w:w="2790"/>
      </w:tblGrid>
      <w:tr w:rsidR="00313A99" w:rsidRPr="00313A99" w14:paraId="210029D0" w14:textId="77777777">
        <w:trPr>
          <w:trHeight w:val="525"/>
        </w:trPr>
        <w:tc>
          <w:tcPr>
            <w:tcW w:w="3105" w:type="dxa"/>
            <w:tcBorders>
              <w:top w:val="single" w:sz="6" w:space="0" w:color="auto"/>
              <w:left w:val="single" w:sz="6" w:space="0" w:color="auto"/>
              <w:bottom w:val="single" w:sz="6" w:space="0" w:color="auto"/>
              <w:right w:val="single" w:sz="6" w:space="0" w:color="auto"/>
            </w:tcBorders>
            <w:vAlign w:val="center"/>
            <w:hideMark/>
          </w:tcPr>
          <w:p w14:paraId="1AE57D32" w14:textId="77777777" w:rsidR="00313A99" w:rsidRPr="00313A99" w:rsidRDefault="00313A99" w:rsidP="00313A99">
            <w:r w:rsidRPr="00313A99">
              <w:t>Při přechodu k Centropolu stále platí ceny ze začátku roku 2026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7100B490" w14:textId="77777777" w:rsidR="00313A99" w:rsidRPr="00313A99" w:rsidRDefault="00313A99" w:rsidP="00313A99">
            <w:r w:rsidRPr="00313A99">
              <w:t>Dvouletá fixace ceny obchodní složky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431BEA81" w14:textId="77777777" w:rsidR="00313A99" w:rsidRPr="00313A99" w:rsidRDefault="00313A99" w:rsidP="00313A99">
            <w:r w:rsidRPr="00313A99">
              <w:t>Tříletá fixace ceny obchodní složky  </w:t>
            </w:r>
          </w:p>
        </w:tc>
      </w:tr>
      <w:tr w:rsidR="00313A99" w:rsidRPr="00313A99" w14:paraId="13C717B5" w14:textId="77777777">
        <w:trPr>
          <w:trHeight w:val="525"/>
        </w:trPr>
        <w:tc>
          <w:tcPr>
            <w:tcW w:w="3105" w:type="dxa"/>
            <w:tcBorders>
              <w:top w:val="single" w:sz="6" w:space="0" w:color="auto"/>
              <w:left w:val="single" w:sz="6" w:space="0" w:color="auto"/>
              <w:bottom w:val="single" w:sz="6" w:space="0" w:color="auto"/>
              <w:right w:val="single" w:sz="6" w:space="0" w:color="auto"/>
            </w:tcBorders>
            <w:vAlign w:val="center"/>
            <w:hideMark/>
          </w:tcPr>
          <w:p w14:paraId="1E50C6F6" w14:textId="77777777" w:rsidR="00313A99" w:rsidRPr="00313A99" w:rsidRDefault="00313A99" w:rsidP="00313A99">
            <w:r w:rsidRPr="00313A99">
              <w:t>Elektřina (</w:t>
            </w:r>
            <w:proofErr w:type="spellStart"/>
            <w:r w:rsidRPr="00313A99">
              <w:t>distr</w:t>
            </w:r>
            <w:proofErr w:type="spellEnd"/>
            <w:r w:rsidRPr="00313A99">
              <w:t>. sazba D02d)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1BEDA043" w14:textId="77777777" w:rsidR="00313A99" w:rsidRPr="00313A99" w:rsidRDefault="00313A99" w:rsidP="00313A99">
            <w:r w:rsidRPr="00313A99">
              <w:t>2456 Kč bez DPH/MWh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0629FC77" w14:textId="77777777" w:rsidR="00313A99" w:rsidRPr="00313A99" w:rsidRDefault="00313A99" w:rsidP="00313A99">
            <w:r w:rsidRPr="00313A99">
              <w:t>2419 Kč bez DPH/MWh  </w:t>
            </w:r>
          </w:p>
        </w:tc>
      </w:tr>
      <w:tr w:rsidR="00313A99" w:rsidRPr="00313A99" w14:paraId="5172B03A" w14:textId="77777777">
        <w:trPr>
          <w:trHeight w:val="525"/>
        </w:trPr>
        <w:tc>
          <w:tcPr>
            <w:tcW w:w="3105" w:type="dxa"/>
            <w:tcBorders>
              <w:top w:val="single" w:sz="6" w:space="0" w:color="auto"/>
              <w:left w:val="single" w:sz="6" w:space="0" w:color="auto"/>
              <w:bottom w:val="single" w:sz="6" w:space="0" w:color="auto"/>
              <w:right w:val="single" w:sz="6" w:space="0" w:color="auto"/>
            </w:tcBorders>
            <w:vAlign w:val="center"/>
            <w:hideMark/>
          </w:tcPr>
          <w:p w14:paraId="57E53040" w14:textId="77777777" w:rsidR="00313A99" w:rsidRPr="00313A99" w:rsidRDefault="00313A99" w:rsidP="00313A99">
            <w:r w:rsidRPr="00313A99">
              <w:t>Zemní plyn (pásmo spotřeby 7,56 MWh a více)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0E78FB9E" w14:textId="77777777" w:rsidR="00313A99" w:rsidRPr="00313A99" w:rsidRDefault="00313A99" w:rsidP="00313A99">
            <w:r w:rsidRPr="00313A99">
              <w:t>926 Kč bez DPH/MWh  </w:t>
            </w:r>
          </w:p>
        </w:tc>
        <w:tc>
          <w:tcPr>
            <w:tcW w:w="2790" w:type="dxa"/>
            <w:tcBorders>
              <w:top w:val="single" w:sz="6" w:space="0" w:color="auto"/>
              <w:left w:val="single" w:sz="6" w:space="0" w:color="auto"/>
              <w:bottom w:val="single" w:sz="6" w:space="0" w:color="auto"/>
              <w:right w:val="single" w:sz="6" w:space="0" w:color="auto"/>
            </w:tcBorders>
            <w:vAlign w:val="center"/>
            <w:hideMark/>
          </w:tcPr>
          <w:p w14:paraId="5259933F" w14:textId="77777777" w:rsidR="00313A99" w:rsidRPr="00313A99" w:rsidRDefault="00313A99" w:rsidP="00313A99">
            <w:r w:rsidRPr="00313A99">
              <w:t>875 Kč bez DPH/MWh  </w:t>
            </w:r>
          </w:p>
        </w:tc>
      </w:tr>
    </w:tbl>
    <w:p w14:paraId="44009BF5" w14:textId="77777777" w:rsidR="00313A99" w:rsidRDefault="00313A99" w:rsidP="00E53661"/>
    <w:p w14:paraId="378B018C" w14:textId="77777777" w:rsidR="009E578A" w:rsidRPr="00737220" w:rsidRDefault="009E578A" w:rsidP="009E578A">
      <w:pPr>
        <w:pStyle w:val="Nadpis2"/>
      </w:pPr>
      <w:r w:rsidRPr="00737220">
        <w:t>Konzervativní strategie potvrzuje svou sílu</w:t>
      </w:r>
    </w:p>
    <w:p w14:paraId="79C70D1D" w14:textId="00103C13" w:rsidR="000A7F90" w:rsidRDefault="00153CE7" w:rsidP="006B444B">
      <w:pPr>
        <w:spacing w:after="160" w:line="259" w:lineRule="auto"/>
      </w:pPr>
      <w:r w:rsidRPr="00737220">
        <w:t>Schopnost udržet stabilní ceny vychází z dlouhodobě uplatňované konzervativní nákupní strategie založené na postupném zajišťování energií s dostatečným časovým předstihem. Centropol významnou část objemů nakoupil ještě před eskalací konfliktu na Blízkém východě</w:t>
      </w:r>
      <w:r w:rsidR="004D6FF6">
        <w:t>,</w:t>
      </w:r>
      <w:r w:rsidRPr="00737220">
        <w:t xml:space="preserve"> a krátkodobé výkyvy na burzách se proto do cen pro koncové zákazníky</w:t>
      </w:r>
      <w:r w:rsidR="005C383A">
        <w:t xml:space="preserve"> </w:t>
      </w:r>
      <w:r w:rsidR="005C383A" w:rsidRPr="00737220">
        <w:t>nepromítají</w:t>
      </w:r>
      <w:r w:rsidRPr="00737220">
        <w:t xml:space="preserve">. </w:t>
      </w:r>
    </w:p>
    <w:p w14:paraId="24D2153D" w14:textId="3E3A5B87" w:rsidR="009A667D" w:rsidRPr="00737220" w:rsidRDefault="000A7F90" w:rsidP="009A667D">
      <w:pPr>
        <w:spacing w:after="160" w:line="259" w:lineRule="auto"/>
      </w:pPr>
      <w:r w:rsidRPr="00737220">
        <w:t xml:space="preserve">Významnou roli přitom hraje nejen časové rozložení nákupů, ale také důsledná diverzifikace zdrojů </w:t>
      </w:r>
      <w:r w:rsidR="004F3E75">
        <w:br/>
      </w:r>
      <w:r w:rsidRPr="00737220">
        <w:t>a cenových referencí</w:t>
      </w:r>
      <w:r w:rsidR="009A667D">
        <w:t xml:space="preserve"> </w:t>
      </w:r>
      <w:r w:rsidR="009A667D" w:rsidRPr="00737220">
        <w:t>napříč hlavními evropskými i světovými obchodními uzly</w:t>
      </w:r>
      <w:r w:rsidR="009A667D">
        <w:t xml:space="preserve">. </w:t>
      </w:r>
      <w:r w:rsidR="00EC25A9">
        <w:t xml:space="preserve">Vedle </w:t>
      </w:r>
      <w:r w:rsidR="00D91FC6" w:rsidRPr="00737220">
        <w:t>německ</w:t>
      </w:r>
      <w:r w:rsidR="00EC25A9">
        <w:t>ého</w:t>
      </w:r>
      <w:r w:rsidR="00D91FC6" w:rsidRPr="00737220">
        <w:t xml:space="preserve"> THE (</w:t>
      </w:r>
      <w:proofErr w:type="spellStart"/>
      <w:r w:rsidR="00D91FC6" w:rsidRPr="00737220">
        <w:t>Trading</w:t>
      </w:r>
      <w:proofErr w:type="spellEnd"/>
      <w:r w:rsidR="00D91FC6" w:rsidRPr="00737220">
        <w:t xml:space="preserve"> Hub </w:t>
      </w:r>
      <w:proofErr w:type="spellStart"/>
      <w:r w:rsidR="00D91FC6" w:rsidRPr="00737220">
        <w:t>Europe</w:t>
      </w:r>
      <w:proofErr w:type="spellEnd"/>
      <w:r w:rsidR="00D91FC6" w:rsidRPr="00737220">
        <w:t>)</w:t>
      </w:r>
      <w:r w:rsidR="00EC25A9">
        <w:t xml:space="preserve"> a</w:t>
      </w:r>
      <w:r w:rsidR="00D91FC6" w:rsidRPr="00737220">
        <w:t xml:space="preserve"> nizozemsk</w:t>
      </w:r>
      <w:r w:rsidR="00EC25A9">
        <w:t>ého</w:t>
      </w:r>
      <w:r w:rsidR="00D91FC6" w:rsidRPr="00737220">
        <w:t xml:space="preserve"> TTF (</w:t>
      </w:r>
      <w:proofErr w:type="spellStart"/>
      <w:r w:rsidR="00D91FC6" w:rsidRPr="00737220">
        <w:t>Title</w:t>
      </w:r>
      <w:proofErr w:type="spellEnd"/>
      <w:r w:rsidR="00D91FC6" w:rsidRPr="00737220">
        <w:t xml:space="preserve"> Transfer Facility) </w:t>
      </w:r>
      <w:r w:rsidR="00A4682A">
        <w:t xml:space="preserve">má Centropol </w:t>
      </w:r>
      <w:r w:rsidR="00645CDA">
        <w:t xml:space="preserve">k dispozici </w:t>
      </w:r>
      <w:r w:rsidR="00A4682A">
        <w:t>také</w:t>
      </w:r>
      <w:r w:rsidR="007C19B3">
        <w:t xml:space="preserve"> třetí cenový </w:t>
      </w:r>
      <w:r w:rsidR="00526CF3">
        <w:t>index – americký</w:t>
      </w:r>
      <w:r w:rsidR="00D91FC6" w:rsidRPr="00737220">
        <w:t xml:space="preserve"> Henry Hub. Díky využívání více cenových a dodavatelských zdrojů </w:t>
      </w:r>
      <w:r w:rsidR="009530C7">
        <w:t>dokáže</w:t>
      </w:r>
      <w:r w:rsidR="00D91FC6" w:rsidRPr="00737220">
        <w:t xml:space="preserve"> lépe řídit rizika spojená s regionálními cenovými šoky </w:t>
      </w:r>
      <w:r w:rsidR="004F3E75">
        <w:t>i</w:t>
      </w:r>
      <w:r w:rsidR="00D91FC6" w:rsidRPr="00737220">
        <w:t xml:space="preserve"> </w:t>
      </w:r>
      <w:r w:rsidR="009530C7">
        <w:t xml:space="preserve">případnými </w:t>
      </w:r>
      <w:r w:rsidR="00D91FC6" w:rsidRPr="00737220">
        <w:t>výpadky dodávek</w:t>
      </w:r>
      <w:r w:rsidR="009A667D" w:rsidRPr="00737220">
        <w:t>.</w:t>
      </w:r>
    </w:p>
    <w:p w14:paraId="67A49C07" w14:textId="53852744" w:rsidR="00EF7705" w:rsidRPr="00737220" w:rsidRDefault="00EF7705" w:rsidP="00EF7705">
      <w:pPr>
        <w:spacing w:after="160" w:line="259" w:lineRule="auto"/>
      </w:pPr>
      <w:r w:rsidRPr="004F3E75">
        <w:rPr>
          <w:i/>
          <w:iCs/>
        </w:rPr>
        <w:t xml:space="preserve">„Současná situace opět ukazuje, že bezpečné dodávky energií nestojí na jediné obchodní strategii ani na jednom zdroji. Klíčem je kombinace vysokého zajištění budoucích dodávek, pečlivého řízení rizik </w:t>
      </w:r>
      <w:r w:rsidR="008F2BD9">
        <w:rPr>
          <w:i/>
          <w:iCs/>
        </w:rPr>
        <w:br/>
      </w:r>
      <w:r w:rsidRPr="004F3E75">
        <w:rPr>
          <w:i/>
          <w:iCs/>
        </w:rPr>
        <w:t xml:space="preserve">a široké diverzifikace nákupních kanálů. Díky tomu dokážeme našim zákazníkům nabídnout větší stabilitu i v době, kdy se geopolitická situace rychle mění,“ </w:t>
      </w:r>
      <w:r w:rsidRPr="00737220">
        <w:t>doplňuje Jiří Matoušek.</w:t>
      </w:r>
    </w:p>
    <w:p w14:paraId="31029621" w14:textId="77777777" w:rsidR="00EF7705" w:rsidRPr="00737220" w:rsidRDefault="00EF7705" w:rsidP="009E578A">
      <w:pPr>
        <w:pStyle w:val="Nadpis2"/>
      </w:pPr>
      <w:r w:rsidRPr="00737220">
        <w:t>Zákazníci oceňují stabilitu</w:t>
      </w:r>
    </w:p>
    <w:p w14:paraId="4B4644CF" w14:textId="6FD05B1F" w:rsidR="00EF7705" w:rsidRDefault="00EF7705" w:rsidP="00EF7705">
      <w:r w:rsidRPr="00737220">
        <w:t xml:space="preserve">Zvýšený zájem domácností o dlouhodobě stabilní ceny se odráží také v počtu nově uzavíraných smluv. Podle údajů společnosti vzrostl počet nově příchozích zákazníků </w:t>
      </w:r>
      <w:r>
        <w:t>v měsících březnu a květnu</w:t>
      </w:r>
      <w:r w:rsidRPr="00737220">
        <w:t xml:space="preserve"> </w:t>
      </w:r>
      <w:r w:rsidRPr="00737220">
        <w:lastRenderedPageBreak/>
        <w:t>meziročně o více než 85 procent</w:t>
      </w:r>
      <w:r>
        <w:t xml:space="preserve"> a n</w:t>
      </w:r>
      <w:r w:rsidRPr="00F537D8">
        <w:t>árůst za toto období v porovnání s loňským rokem představuje vyšší tisíce nově sjednaných smluv.</w:t>
      </w:r>
      <w:r w:rsidR="008E337C">
        <w:t xml:space="preserve"> </w:t>
      </w:r>
      <w:r w:rsidR="009E2509">
        <w:t xml:space="preserve">Od začátku konfliktu na Blízkém východě </w:t>
      </w:r>
      <w:r w:rsidR="001E3D73">
        <w:t xml:space="preserve">růst </w:t>
      </w:r>
      <w:r w:rsidR="003D0C82">
        <w:t>přesahuje 70</w:t>
      </w:r>
      <w:r w:rsidR="001E3D73">
        <w:t xml:space="preserve"> </w:t>
      </w:r>
      <w:r w:rsidR="003D0C82">
        <w:t>%.</w:t>
      </w:r>
      <w:r w:rsidRPr="00737220">
        <w:t xml:space="preserve"> </w:t>
      </w:r>
      <w:r>
        <w:t>Největší zájem je přitom o smlouvy s fixovanou cenou na dva i tři roky, které po dané období zákazníky před cenovými výkyvy spolehlivě chrání.</w:t>
      </w:r>
    </w:p>
    <w:p w14:paraId="735BAFCA" w14:textId="77777777" w:rsidR="00EF7705" w:rsidRDefault="00EF7705" w:rsidP="00EF7705"/>
    <w:p w14:paraId="06FCBD03" w14:textId="6B11C371" w:rsidR="00D31727" w:rsidRDefault="00EF7705" w:rsidP="00171F2B">
      <w:r w:rsidRPr="00393583">
        <w:rPr>
          <w:i/>
          <w:iCs/>
        </w:rPr>
        <w:t>„</w:t>
      </w:r>
      <w:r w:rsidR="00F75EA7" w:rsidRPr="00393583">
        <w:rPr>
          <w:i/>
          <w:iCs/>
        </w:rPr>
        <w:t>Během</w:t>
      </w:r>
      <w:r w:rsidRPr="00393583">
        <w:rPr>
          <w:i/>
          <w:iCs/>
        </w:rPr>
        <w:t xml:space="preserve"> prázdnin </w:t>
      </w:r>
      <w:r w:rsidR="00393583" w:rsidRPr="00393583">
        <w:rPr>
          <w:i/>
          <w:iCs/>
        </w:rPr>
        <w:t xml:space="preserve">přirozeně klesá </w:t>
      </w:r>
      <w:r w:rsidRPr="00393583">
        <w:rPr>
          <w:i/>
          <w:iCs/>
        </w:rPr>
        <w:t>zájem o zásadnější témata, k nimž patří i energetik</w:t>
      </w:r>
      <w:r w:rsidR="00393583" w:rsidRPr="00393583">
        <w:rPr>
          <w:i/>
          <w:iCs/>
        </w:rPr>
        <w:t>a</w:t>
      </w:r>
      <w:r w:rsidRPr="00393583">
        <w:rPr>
          <w:i/>
          <w:iCs/>
        </w:rPr>
        <w:t xml:space="preserve">. Nicméně současné geopolitické napětí může i nadále ovlivňovat velkoobchodní trhy, a tak bych </w:t>
      </w:r>
      <w:r w:rsidR="000749B1">
        <w:rPr>
          <w:i/>
          <w:iCs/>
        </w:rPr>
        <w:t xml:space="preserve">zejména spotřebitelům z řad </w:t>
      </w:r>
      <w:r w:rsidRPr="00393583">
        <w:rPr>
          <w:i/>
          <w:iCs/>
        </w:rPr>
        <w:t>domácnost</w:t>
      </w:r>
      <w:r w:rsidR="000749B1">
        <w:rPr>
          <w:i/>
          <w:iCs/>
        </w:rPr>
        <w:t>í</w:t>
      </w:r>
      <w:r w:rsidRPr="00393583">
        <w:rPr>
          <w:i/>
          <w:iCs/>
        </w:rPr>
        <w:t xml:space="preserve"> doporučil zafixovat si ceny energií, </w:t>
      </w:r>
      <w:proofErr w:type="gramStart"/>
      <w:r w:rsidRPr="00393583">
        <w:rPr>
          <w:i/>
          <w:iCs/>
        </w:rPr>
        <w:t>ještě</w:t>
      </w:r>
      <w:proofErr w:type="gramEnd"/>
      <w:r w:rsidRPr="00393583">
        <w:rPr>
          <w:i/>
          <w:iCs/>
        </w:rPr>
        <w:t xml:space="preserve"> než vyrazí vstříc dovolenkovým zážitkům,“</w:t>
      </w:r>
      <w:r>
        <w:t xml:space="preserve"> apeluje Jiří Matoušek</w:t>
      </w:r>
      <w:r w:rsidR="00360EE6">
        <w:t xml:space="preserve"> z </w:t>
      </w:r>
      <w:r w:rsidR="00360EE6" w:rsidRPr="00360EE6">
        <w:t>CENTROPOL ENERGY</w:t>
      </w:r>
      <w:r>
        <w:t>.</w:t>
      </w:r>
    </w:p>
    <w:p w14:paraId="65903005" w14:textId="77777777" w:rsidR="00171F2B" w:rsidRDefault="00171F2B" w:rsidP="00F408C0">
      <w:pPr>
        <w:rPr>
          <w:sz w:val="18"/>
          <w:szCs w:val="18"/>
        </w:rPr>
      </w:pPr>
    </w:p>
    <w:p w14:paraId="6649C7FB" w14:textId="6B3B85FD" w:rsidR="00F408C0" w:rsidRPr="00893F4E" w:rsidRDefault="00F408C0" w:rsidP="00F408C0">
      <w:r w:rsidRPr="00CF6354">
        <w:rPr>
          <w:sz w:val="18"/>
          <w:szCs w:val="18"/>
        </w:rPr>
        <w:t>CENTROPOL ENERGY, a.s. je český dodavatel energií s</w:t>
      </w:r>
      <w:r>
        <w:rPr>
          <w:sz w:val="18"/>
          <w:szCs w:val="18"/>
        </w:rPr>
        <w:t> více než 20</w:t>
      </w:r>
      <w:r w:rsidRPr="00CF6354">
        <w:rPr>
          <w:sz w:val="18"/>
          <w:szCs w:val="18"/>
        </w:rPr>
        <w:t>letou působností</w:t>
      </w:r>
      <w:r>
        <w:rPr>
          <w:sz w:val="18"/>
          <w:szCs w:val="18"/>
        </w:rPr>
        <w:t xml:space="preserve"> a </w:t>
      </w:r>
      <w:r w:rsidRPr="00CF6354">
        <w:rPr>
          <w:sz w:val="18"/>
          <w:szCs w:val="18"/>
        </w:rPr>
        <w:t>silným finančním zázemím. Patří k</w:t>
      </w:r>
      <w:r>
        <w:rPr>
          <w:sz w:val="18"/>
          <w:szCs w:val="18"/>
        </w:rPr>
        <w:t xml:space="preserve">e spolehlivým </w:t>
      </w:r>
      <w:r w:rsidRPr="00CF6354">
        <w:rPr>
          <w:sz w:val="18"/>
          <w:szCs w:val="18"/>
        </w:rPr>
        <w:t xml:space="preserve">stabilním dodavatelům, v jeho péči je </w:t>
      </w:r>
      <w:r>
        <w:rPr>
          <w:sz w:val="18"/>
          <w:szCs w:val="18"/>
        </w:rPr>
        <w:t>dlouhodobě kolem</w:t>
      </w:r>
      <w:r w:rsidRPr="00CF6354">
        <w:rPr>
          <w:sz w:val="18"/>
          <w:szCs w:val="18"/>
        </w:rPr>
        <w:t xml:space="preserve"> </w:t>
      </w:r>
      <w:r>
        <w:rPr>
          <w:sz w:val="18"/>
          <w:szCs w:val="18"/>
        </w:rPr>
        <w:t>300</w:t>
      </w:r>
      <w:r w:rsidRPr="00CF6354">
        <w:rPr>
          <w:sz w:val="18"/>
          <w:szCs w:val="18"/>
        </w:rPr>
        <w:t xml:space="preserve"> tisíc odběrných míst z řad domácností, firem </w:t>
      </w:r>
      <w:r w:rsidR="009E578A">
        <w:rPr>
          <w:sz w:val="18"/>
          <w:szCs w:val="18"/>
        </w:rPr>
        <w:br/>
      </w:r>
      <w:r w:rsidRPr="00CF6354">
        <w:rPr>
          <w:sz w:val="18"/>
          <w:szCs w:val="18"/>
        </w:rPr>
        <w:t xml:space="preserve">i veřejných institucí. </w:t>
      </w:r>
    </w:p>
    <w:p w14:paraId="3789C552" w14:textId="77777777" w:rsidR="00F408C0" w:rsidRPr="00774B2C" w:rsidRDefault="00F408C0" w:rsidP="00F408C0">
      <w:pPr>
        <w:rPr>
          <w:sz w:val="24"/>
          <w:szCs w:val="24"/>
        </w:rPr>
      </w:pPr>
    </w:p>
    <w:p w14:paraId="2C124099" w14:textId="15C7751C" w:rsidR="00A32337" w:rsidRPr="00F763DC" w:rsidRDefault="00C62CFE" w:rsidP="00A9200A">
      <w:pPr>
        <w:pStyle w:val="Nadpis2"/>
        <w:rPr>
          <w:b/>
          <w:bCs/>
        </w:rPr>
      </w:pPr>
      <w:r w:rsidRPr="00F763DC">
        <w:rPr>
          <w:b/>
          <w:bCs/>
        </w:rPr>
        <w:t>Doplňující informace</w:t>
      </w:r>
      <w:r w:rsidR="00171F2B" w:rsidRPr="00F763DC">
        <w:rPr>
          <w:b/>
          <w:bCs/>
        </w:rPr>
        <w:t xml:space="preserve"> – analýza vývo</w:t>
      </w:r>
      <w:r w:rsidR="0026535B" w:rsidRPr="00F763DC">
        <w:rPr>
          <w:b/>
          <w:bCs/>
        </w:rPr>
        <w:t>je cen energií</w:t>
      </w:r>
      <w:r w:rsidRPr="00F763DC">
        <w:rPr>
          <w:b/>
          <w:bCs/>
        </w:rPr>
        <w:t>:</w:t>
      </w:r>
    </w:p>
    <w:p w14:paraId="49403596" w14:textId="77777777" w:rsidR="00C62CFE" w:rsidRDefault="00C62CFE" w:rsidP="00C62CFE">
      <w:pPr>
        <w:pStyle w:val="Nadpis1"/>
        <w:rPr>
          <w:rFonts w:ascii="Calibri Light" w:hAnsi="Calibri Light" w:cs="Calibri Light"/>
        </w:rPr>
      </w:pPr>
      <w:r w:rsidRPr="009A58F9">
        <w:rPr>
          <w:rFonts w:ascii="Calibri Light" w:hAnsi="Calibri Light" w:cs="Calibri Light"/>
        </w:rPr>
        <w:t>Nižší ceny energií nejspíš končí. Proč se vyplatí zafixovat si elektřinu i plyn ještě před dovolenou</w:t>
      </w:r>
    </w:p>
    <w:p w14:paraId="3F54A870" w14:textId="77777777" w:rsidR="00C62CFE" w:rsidRPr="009A58F9" w:rsidRDefault="00C62CFE" w:rsidP="00C62CFE"/>
    <w:p w14:paraId="2DCEAE93" w14:textId="1FE4630E" w:rsidR="00C62CFE" w:rsidRPr="0050355C" w:rsidRDefault="00C62CFE" w:rsidP="00C62CFE">
      <w:pPr>
        <w:rPr>
          <w:b/>
          <w:bCs/>
        </w:rPr>
      </w:pPr>
      <w:r w:rsidRPr="0050355C">
        <w:rPr>
          <w:b/>
          <w:bCs/>
        </w:rPr>
        <w:t>Současná situace na velkoobchodním trhu s energiemi dává vzpomenout na období před energetickou krizí v roce 2022. Ani pesimistický scénář ilustrující vývoj cen elektřiny pro dodávku v roce 2027 sice zatím nepředpokládá tak dramatické dopady jako tehdy, ale období nižších cen na trhu zřejmě skončilo. Pro domácnosti i firmy proto znovu roste význam předvídatelnosti nákladů na energie. Fixace ceny elektřiny i zemního plynu ještě před odjezdem na dovolenou je racionálním krokem chránícím před dalším zdražením.</w:t>
      </w:r>
    </w:p>
    <w:p w14:paraId="6D0C07BB" w14:textId="77777777" w:rsidR="00C62CFE" w:rsidRDefault="00C62CFE" w:rsidP="00C62CFE">
      <w:pPr>
        <w:spacing w:after="80"/>
      </w:pPr>
      <w:r w:rsidRPr="0099157D">
        <w:rPr>
          <w:noProof/>
        </w:rPr>
        <w:lastRenderedPageBreak/>
        <w:t xml:space="preserve"> </w:t>
      </w:r>
      <w:r>
        <w:rPr>
          <w:noProof/>
        </w:rPr>
        <w:drawing>
          <wp:inline distT="0" distB="0" distL="0" distR="0" wp14:anchorId="0CBE0992" wp14:editId="7181E2BA">
            <wp:extent cx="5760720" cy="3867150"/>
            <wp:effectExtent l="0" t="0" r="11430" b="0"/>
            <wp:docPr id="728025696" name="Graf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Del="00336258">
        <w:t xml:space="preserve"> </w:t>
      </w:r>
    </w:p>
    <w:p w14:paraId="019171F8" w14:textId="77777777" w:rsidR="00C62CFE" w:rsidRDefault="00C62CFE" w:rsidP="00C62CFE">
      <w:r w:rsidRPr="001A53F3">
        <w:t xml:space="preserve">Výchozí cena </w:t>
      </w:r>
      <w:r>
        <w:t xml:space="preserve">velkoobchodního </w:t>
      </w:r>
      <w:r w:rsidRPr="001A53F3">
        <w:t xml:space="preserve">produktu </w:t>
      </w:r>
      <w:r>
        <w:t xml:space="preserve">nákupu s dodávkou v příštím roce </w:t>
      </w:r>
      <w:r w:rsidRPr="001A53F3">
        <w:t xml:space="preserve">CZ CAL-2027 </w:t>
      </w:r>
      <w:r>
        <w:t>na energetické burze pro střední Evropu</w:t>
      </w:r>
      <w:r w:rsidRPr="001A53F3">
        <w:t xml:space="preserve"> PXE dosáhla k</w:t>
      </w:r>
      <w:r>
        <w:t> 30</w:t>
      </w:r>
      <w:r w:rsidRPr="001A53F3">
        <w:t>. červnu 2026 hodnoty 99,</w:t>
      </w:r>
      <w:r>
        <w:t>91</w:t>
      </w:r>
      <w:r w:rsidRPr="001A53F3">
        <w:t xml:space="preserve"> EUR/MWh. Do jejího vývoje se promítá kombinace tří tlaků: geopolitického napětí </w:t>
      </w:r>
      <w:r>
        <w:t>ohledně</w:t>
      </w:r>
      <w:r w:rsidRPr="001A53F3">
        <w:t xml:space="preserve"> dodávek LNG, </w:t>
      </w:r>
      <w:r>
        <w:t>podnormálního stavu</w:t>
      </w:r>
      <w:r w:rsidRPr="001A53F3">
        <w:t xml:space="preserve"> naplnění evropských zásobníků plynu a klimatických vlivů, zejména veder</w:t>
      </w:r>
      <w:r>
        <w:t xml:space="preserve"> </w:t>
      </w:r>
      <w:r>
        <w:br/>
        <w:t>a</w:t>
      </w:r>
      <w:r w:rsidRPr="001A53F3">
        <w:t xml:space="preserve"> sucha </w:t>
      </w:r>
      <w:r>
        <w:t>vedoucích k</w:t>
      </w:r>
      <w:r w:rsidRPr="001A53F3">
        <w:t xml:space="preserve"> omezení výroby ve francouzských jaderných </w:t>
      </w:r>
      <w:r>
        <w:t xml:space="preserve">či německých větrných </w:t>
      </w:r>
      <w:r w:rsidRPr="001A53F3">
        <w:t>elektrárnách</w:t>
      </w:r>
      <w:r>
        <w:t>.</w:t>
      </w:r>
    </w:p>
    <w:p w14:paraId="43CDF343" w14:textId="77777777" w:rsidR="00C62CFE" w:rsidRDefault="00C62CFE" w:rsidP="00C62CFE">
      <w:pPr>
        <w:spacing w:after="80"/>
      </w:pPr>
      <w:r>
        <w:rPr>
          <w:noProof/>
        </w:rPr>
        <w:lastRenderedPageBreak/>
        <w:drawing>
          <wp:inline distT="0" distB="0" distL="0" distR="0" wp14:anchorId="1EE3FEB8" wp14:editId="2BAFAA24">
            <wp:extent cx="5760720" cy="3435350"/>
            <wp:effectExtent l="0" t="0" r="11430" b="12700"/>
            <wp:docPr id="182099336" name="Graf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FA25B6" w14:textId="77777777" w:rsidR="00C62CFE" w:rsidRPr="00E44E01" w:rsidRDefault="00C62CFE" w:rsidP="00C62CFE">
      <w:pPr>
        <w:pStyle w:val="Nadpis2"/>
        <w:rPr>
          <w:sz w:val="22"/>
          <w:szCs w:val="22"/>
        </w:rPr>
      </w:pPr>
      <w:r>
        <w:t>Trh se vrací k opatrnosti</w:t>
      </w:r>
    </w:p>
    <w:p w14:paraId="6D858A49" w14:textId="77777777" w:rsidR="00C62CFE" w:rsidRDefault="00C62CFE" w:rsidP="00C62CFE">
      <w:r>
        <w:t xml:space="preserve">Velkoobchodní ceny elektřiny v Evropě zůstávají silně navázané na cenu plynu, emisních povolenek </w:t>
      </w:r>
      <w:r>
        <w:br/>
        <w:t>a dostupnost výrobních zdrojů. Když roste cena plynu nebo je potřeba častěji zapojovat plynové elektrárny jako záložní zdroj, promítá se to i do ceny elektřiny. V druhé polovině roku 2026 bude také klíčové, za jaké ceny dodavatelé dokoupí poslední část objemu plynu pro zimní sezónu 2026–2027.</w:t>
      </w:r>
    </w:p>
    <w:p w14:paraId="37170430" w14:textId="77777777" w:rsidR="00C62CFE" w:rsidRDefault="00C62CFE" w:rsidP="00C62CFE">
      <w:r>
        <w:t xml:space="preserve">Základní scénář počítá s tím, že se cena CZ CAL-2027 může do konce roku 2026 pohybovat zhruba </w:t>
      </w:r>
      <w:r>
        <w:br/>
        <w:t xml:space="preserve">v pásmu 100 až 117 EUR/MWh (+ 17 EUR). Pesimistický scénář připouští při kumulaci nepříznivých faktorů růst až k 130 až 140 EUR/MWh (+ 40 EUR). Optimistická varianta naopak předpokládá uklidnění geopolitické situace, doplnění zásobníků a příznivé počasí, což ovšem cenu oproti výchozí sníží jen minimálně – o dvě až čtyři EUR/MWh. S vyšší pravděpodobností v tomto roce lépe již bylo </w:t>
      </w:r>
      <w:r>
        <w:br/>
        <w:t>a ceny elektřiny na velkoobchodním trhu budou spíše dále růst.</w:t>
      </w:r>
    </w:p>
    <w:p w14:paraId="2697D876" w14:textId="77777777" w:rsidR="0026535B" w:rsidRDefault="0026535B" w:rsidP="00C62CFE">
      <w:pPr>
        <w:pStyle w:val="Nadpis2"/>
        <w:rPr>
          <w:rFonts w:cstheme="minorBidi"/>
        </w:rPr>
      </w:pPr>
    </w:p>
    <w:p w14:paraId="09086E0C" w14:textId="17B8C630" w:rsidR="00C62CFE" w:rsidRDefault="00C62CFE" w:rsidP="00C62CFE">
      <w:pPr>
        <w:pStyle w:val="Nadpis2"/>
        <w:rPr>
          <w:rFonts w:cstheme="minorBidi"/>
        </w:rPr>
      </w:pPr>
      <w:r>
        <w:rPr>
          <w:rFonts w:cstheme="minorBidi"/>
        </w:rPr>
        <w:t>Sedm rizik, která spolurozhodují o ceně elektřiny pro rok 2027 i 2028</w:t>
      </w:r>
    </w:p>
    <w:p w14:paraId="23727636" w14:textId="77777777" w:rsidR="00C62CFE" w:rsidRPr="00671D92" w:rsidRDefault="00C62CFE" w:rsidP="00C62CFE">
      <w:pPr>
        <w:pStyle w:val="Odstavecseseznamem"/>
        <w:numPr>
          <w:ilvl w:val="0"/>
          <w:numId w:val="8"/>
        </w:numPr>
        <w:spacing w:after="160" w:line="259" w:lineRule="auto"/>
      </w:pPr>
      <w:r w:rsidRPr="00671D92">
        <w:rPr>
          <w:b/>
          <w:bCs/>
        </w:rPr>
        <w:t>Hormuz a geopolitika LNG.</w:t>
      </w:r>
      <w:r w:rsidRPr="00671D92">
        <w:t xml:space="preserve"> Největším rizikem zůstává vývoj v oblasti Perského zálivu </w:t>
      </w:r>
      <w:r>
        <w:br/>
      </w:r>
      <w:r w:rsidRPr="00671D92">
        <w:t xml:space="preserve">a dostupnost zkapalněného plynu LNG. Pokud by se zhoršila průchodnost </w:t>
      </w:r>
      <w:proofErr w:type="spellStart"/>
      <w:r w:rsidRPr="00671D92">
        <w:t>Hormuzského</w:t>
      </w:r>
      <w:proofErr w:type="spellEnd"/>
      <w:r w:rsidRPr="00671D92">
        <w:t xml:space="preserve"> průlivu nebo byla déle omezena produkce v klíčových exportních terminálech, ceny plynu by znovu rychle rostly a růst by se přenesl i do ceny elektřiny.</w:t>
      </w:r>
    </w:p>
    <w:p w14:paraId="792DC3C4" w14:textId="77777777" w:rsidR="00C62CFE" w:rsidRPr="00671D92" w:rsidRDefault="00C62CFE" w:rsidP="00C62CFE">
      <w:pPr>
        <w:pStyle w:val="Odstavecseseznamem"/>
        <w:numPr>
          <w:ilvl w:val="0"/>
          <w:numId w:val="8"/>
        </w:numPr>
        <w:spacing w:after="160" w:line="259" w:lineRule="auto"/>
      </w:pPr>
      <w:r w:rsidRPr="00671D92">
        <w:rPr>
          <w:b/>
          <w:bCs/>
        </w:rPr>
        <w:t xml:space="preserve">Poptávka ve </w:t>
      </w:r>
      <w:proofErr w:type="spellStart"/>
      <w:r w:rsidRPr="00671D92">
        <w:rPr>
          <w:b/>
          <w:bCs/>
        </w:rPr>
        <w:t>vtláčecí</w:t>
      </w:r>
      <w:proofErr w:type="spellEnd"/>
      <w:r w:rsidRPr="00671D92">
        <w:rPr>
          <w:b/>
          <w:bCs/>
        </w:rPr>
        <w:t xml:space="preserve"> sezóně.</w:t>
      </w:r>
      <w:r w:rsidRPr="00671D92">
        <w:t xml:space="preserve"> Evropské zásobníky plynu vstupují do léta naplněné méně, než je obvyklé. Dostat se z aktuálních přibližně 48 procent naplnění na cílových 80 procent do začátku listopadu znamená nakoupit velmi vysoké objemy plynu v krátkém čase. Tato poptávka vytváří cenovou „podlahu“, která je přítomna ve všech scénářích.</w:t>
      </w:r>
    </w:p>
    <w:p w14:paraId="6BBC2159" w14:textId="77777777" w:rsidR="00C62CFE" w:rsidRPr="00671D92" w:rsidRDefault="00C62CFE" w:rsidP="00C62CFE">
      <w:pPr>
        <w:pStyle w:val="Odstavecseseznamem"/>
        <w:numPr>
          <w:ilvl w:val="0"/>
          <w:numId w:val="8"/>
        </w:numPr>
        <w:spacing w:after="160" w:line="259" w:lineRule="auto"/>
      </w:pPr>
      <w:r w:rsidRPr="00671D92">
        <w:rPr>
          <w:b/>
          <w:bCs/>
        </w:rPr>
        <w:t>Sucho a omezení jaderného chlazení.</w:t>
      </w:r>
      <w:r w:rsidRPr="00671D92">
        <w:t xml:space="preserve"> Vysoké teploty a nízké průtoky řek mohou omezovat výkon jaderných elektráren ve Francii a Švýcarsku. Už nyní analýza pracuje </w:t>
      </w:r>
      <w:r w:rsidRPr="00671D92">
        <w:br/>
        <w:t>s omezením francouzských zdrojů o 4,1 GW; při delším suchu by se nutnost nahrazovat jadernou výrobu plynem ještě zvýšila.</w:t>
      </w:r>
    </w:p>
    <w:p w14:paraId="2B5849F2" w14:textId="77777777" w:rsidR="00C62CFE" w:rsidRPr="00671D92" w:rsidRDefault="00C62CFE" w:rsidP="00C62CFE">
      <w:pPr>
        <w:pStyle w:val="Odstavecseseznamem"/>
        <w:numPr>
          <w:ilvl w:val="0"/>
          <w:numId w:val="8"/>
        </w:numPr>
        <w:spacing w:after="160" w:line="259" w:lineRule="auto"/>
      </w:pPr>
      <w:r w:rsidRPr="00671D92">
        <w:rPr>
          <w:b/>
          <w:bCs/>
        </w:rPr>
        <w:lastRenderedPageBreak/>
        <w:t>Nižší výroba z vody.</w:t>
      </w:r>
      <w:r w:rsidRPr="00671D92">
        <w:t xml:space="preserve"> Slabší zásoby vody v nádržích snižují možnost zapojení hydroelektráren, zejména ve Francii a v alpském regionu. Pokud by se přidala i omezení exportů ze Skandinávie do Velké Británie, evropská soustava by musela doplnit výpadek elektřiny.</w:t>
      </w:r>
    </w:p>
    <w:p w14:paraId="75199111" w14:textId="77777777" w:rsidR="00C62CFE" w:rsidRPr="00671D92" w:rsidRDefault="00C62CFE" w:rsidP="00C62CFE">
      <w:pPr>
        <w:pStyle w:val="Odstavecseseznamem"/>
        <w:numPr>
          <w:ilvl w:val="0"/>
          <w:numId w:val="8"/>
        </w:numPr>
        <w:spacing w:after="160" w:line="259" w:lineRule="auto"/>
      </w:pPr>
      <w:r w:rsidRPr="00671D92">
        <w:rPr>
          <w:b/>
          <w:bCs/>
        </w:rPr>
        <w:t>Ceny emisních povolenek.</w:t>
      </w:r>
      <w:r w:rsidRPr="00671D92">
        <w:t xml:space="preserve"> Cena povolenky EU ETS opravňující podniky k vypuštění jedné tuny oxidu uhličitého (C</w:t>
      </w:r>
      <w:r>
        <w:t>O</w:t>
      </w:r>
      <w:r w:rsidRPr="00671D92">
        <w:rPr>
          <w:vertAlign w:val="subscript"/>
        </w:rPr>
        <w:t>2</w:t>
      </w:r>
      <w:r w:rsidRPr="00671D92">
        <w:t>), případně ekvivalentu jiné škodliviny do ovzduší, se pohybuje kolem 75 až 80 EUR za tunu a její růst zdražuje výrobu elektřiny z fosilních zdrojů. Každých 10 EUR za tunu navíc může podle modelu znamenat přibližně 3 až 4 EUR/MWh v ceně elektřiny.</w:t>
      </w:r>
    </w:p>
    <w:p w14:paraId="70DF364E" w14:textId="77777777" w:rsidR="00C62CFE" w:rsidRPr="00671D92" w:rsidRDefault="00C62CFE" w:rsidP="00C62CFE">
      <w:pPr>
        <w:pStyle w:val="Odstavecseseznamem"/>
        <w:numPr>
          <w:ilvl w:val="0"/>
          <w:numId w:val="8"/>
        </w:numPr>
        <w:spacing w:after="160" w:line="259" w:lineRule="auto"/>
      </w:pPr>
      <w:r w:rsidRPr="00671D92">
        <w:rPr>
          <w:b/>
          <w:bCs/>
        </w:rPr>
        <w:t>Větrná variabilita.</w:t>
      </w:r>
      <w:r w:rsidRPr="00671D92">
        <w:t xml:space="preserve"> Vítr tvoří významnou část evropského energetického výrobního mixu, ale </w:t>
      </w:r>
      <w:r>
        <w:br/>
      </w:r>
      <w:r w:rsidRPr="00671D92">
        <w:t>v době letních anticyklon se často potkává vedro s bezvětřím. Slabá větrnost tak nepůsobí izolovaně: zesiluje dopad sucha, jaderných omezení i dražší plynové výroby.</w:t>
      </w:r>
    </w:p>
    <w:p w14:paraId="3E33355D" w14:textId="77777777" w:rsidR="00C62CFE" w:rsidRPr="00671D92" w:rsidRDefault="00C62CFE" w:rsidP="00C62CFE">
      <w:pPr>
        <w:pStyle w:val="Odstavecseseznamem"/>
        <w:numPr>
          <w:ilvl w:val="0"/>
          <w:numId w:val="8"/>
        </w:numPr>
        <w:spacing w:after="160" w:line="259" w:lineRule="auto"/>
      </w:pPr>
      <w:r w:rsidRPr="00671D92">
        <w:rPr>
          <w:b/>
          <w:bCs/>
        </w:rPr>
        <w:t>Makroekonomika a poptávka.</w:t>
      </w:r>
      <w:r w:rsidRPr="00671D92">
        <w:t xml:space="preserve"> Průmyslová poptávka, úrokové sazby a celkový ekonomický výkon mohou růst ceny buď podpořit, nebo naopak tlumit. V optimistickém scénáři může slabší výkon průmyslu snížit spotřebu a zmírnit tlak na ceny; v pesimistickém scénáři však vyšší náklady a nejistota ovlivňují ceny déle.</w:t>
      </w:r>
    </w:p>
    <w:p w14:paraId="4D930155" w14:textId="77777777" w:rsidR="00C62CFE" w:rsidRDefault="00C62CFE" w:rsidP="00C62CFE">
      <w:pPr>
        <w:pStyle w:val="Nadpis2"/>
        <w:rPr>
          <w:rFonts w:cstheme="minorBidi"/>
        </w:rPr>
      </w:pPr>
      <w:r w:rsidRPr="00216F7C">
        <w:rPr>
          <w:rFonts w:cstheme="minorBidi"/>
        </w:rPr>
        <w:t xml:space="preserve">Co to znamená pro </w:t>
      </w:r>
      <w:r>
        <w:rPr>
          <w:rFonts w:cstheme="minorBidi"/>
        </w:rPr>
        <w:t>odběratele</w:t>
      </w:r>
    </w:p>
    <w:p w14:paraId="1BA6FDD6" w14:textId="77777777" w:rsidR="00C62CFE" w:rsidRDefault="00C62CFE" w:rsidP="00C62CFE">
      <w:r>
        <w:t xml:space="preserve">Trh s elektřinou pro rok 2027 vstupuje do období zvýšené nejistoty. Rizika se netýkají jen jedné události, ale jejich kombinace: geopolitiky, stavu plynových zásobníků, počasí, dostupnosti jaderných a vodních zdrojů, cen povolenek, větrné výroby a ekonomické poptávky. Právě proto dává v současné situaci fixace ceny znovu smysl jako praktická pojistka proti dalšímu růstu nákladů na energie. </w:t>
      </w:r>
      <w:r>
        <w:br/>
        <w:t>A modelové scénáře ukazují, že pro fixace cen je pořád ještě vhodný čas.</w:t>
      </w:r>
    </w:p>
    <w:p w14:paraId="08B08483" w14:textId="77777777" w:rsidR="0026535B" w:rsidRDefault="0026535B" w:rsidP="00C62CFE"/>
    <w:p w14:paraId="7064BA0E" w14:textId="2A57E31C" w:rsidR="00C62CFE" w:rsidRDefault="00C62CFE" w:rsidP="00C62CFE">
      <w:r>
        <w:t>Jedinou spolehlivou ochranou domácností před růstem cen energií je smlouva na dobu určitou s</w:t>
      </w:r>
      <w:r w:rsidRPr="00007EF2">
        <w:t xml:space="preserve"> </w:t>
      </w:r>
      <w:r>
        <w:t>fixací ceny. Z</w:t>
      </w:r>
      <w:r w:rsidRPr="00007EF2">
        <w:t xml:space="preserve"> </w:t>
      </w:r>
      <w:r>
        <w:t xml:space="preserve">výše </w:t>
      </w:r>
      <w:r w:rsidRPr="00007EF2">
        <w:t>uvedených</w:t>
      </w:r>
      <w:r>
        <w:t xml:space="preserve"> důvodů by doba fixace měla být </w:t>
      </w:r>
      <w:r w:rsidRPr="00007EF2">
        <w:t xml:space="preserve">co </w:t>
      </w:r>
      <w:r>
        <w:t>nejdelší</w:t>
      </w:r>
      <w:r w:rsidRPr="00007EF2">
        <w:t>, tedy ideálně na tři roky</w:t>
      </w:r>
      <w:r>
        <w:t xml:space="preserve"> – do koncové ceny se tak promítne stále ještě nižší cena vzdálenějšího zajištění (CAL-2028). Rozhodně alespoň u elektřiny</w:t>
      </w:r>
      <w:r w:rsidRPr="00007EF2">
        <w:t>;</w:t>
      </w:r>
      <w:r>
        <w:t xml:space="preserve"> u plynu nejméně na dva roky, ale ani tříletá fixace nebude chybou. Jistota pevné ceny při případném růstu má vyšší přidanou hodnotu než možná drobná úspora, pokud by velkoobchodní cena krátkodobě klesla. </w:t>
      </w:r>
    </w:p>
    <w:p w14:paraId="64E1E70A" w14:textId="77777777" w:rsidR="0026535B" w:rsidRDefault="0026535B" w:rsidP="00C62CFE"/>
    <w:p w14:paraId="63429795" w14:textId="70416167" w:rsidR="00C62CFE" w:rsidRDefault="00C62CFE" w:rsidP="00C62CFE">
      <w:r>
        <w:t xml:space="preserve">Ještě než vyrazíte </w:t>
      </w:r>
      <w:r w:rsidR="00A9200A">
        <w:t>na dovolenou</w:t>
      </w:r>
      <w:r>
        <w:t>, najděte si chvilku na porovnání nabídek a sjednejte si smlouvu na elektřinu a plyn s</w:t>
      </w:r>
      <w:r w:rsidRPr="00007EF2">
        <w:t xml:space="preserve"> </w:t>
      </w:r>
      <w:r>
        <w:t>fixovanou cenou u spolehlivého dodavatele. V Centropolu jsme ceny nezvyšovali a stále jsou na úrovních před začátkem konfliktu na Blízkém východě. S cenovou volatilitou kalkulujeme dlouhodobě, a proto naše zajištění dopřednými nákupy vysoce překračuje požadavky české legislativy na zajištění obchodníků. Využijte toho a přejděte k Centropolu.</w:t>
      </w:r>
    </w:p>
    <w:p w14:paraId="7B2CFA4E" w14:textId="77777777" w:rsidR="00C62CFE" w:rsidRDefault="00C62CFE" w:rsidP="000749B1">
      <w:pPr>
        <w:spacing w:after="160" w:line="259" w:lineRule="auto"/>
      </w:pPr>
    </w:p>
    <w:sectPr w:rsidR="00C62CF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54E53" w14:textId="77777777" w:rsidR="0023240E" w:rsidRDefault="0023240E" w:rsidP="005629F9">
      <w:r>
        <w:separator/>
      </w:r>
    </w:p>
  </w:endnote>
  <w:endnote w:type="continuationSeparator" w:id="0">
    <w:p w14:paraId="23DE0344" w14:textId="77777777" w:rsidR="0023240E" w:rsidRDefault="0023240E" w:rsidP="00562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43EF" w14:textId="77777777" w:rsidR="0083166E" w:rsidRDefault="0083166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1653" w14:textId="77777777" w:rsidR="0083166E" w:rsidRDefault="0083166E">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2EE4A" w14:textId="77777777" w:rsidR="0083166E" w:rsidRDefault="008316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B58D7" w14:textId="77777777" w:rsidR="0023240E" w:rsidRDefault="0023240E" w:rsidP="005629F9">
      <w:r>
        <w:separator/>
      </w:r>
    </w:p>
  </w:footnote>
  <w:footnote w:type="continuationSeparator" w:id="0">
    <w:p w14:paraId="02C1A429" w14:textId="77777777" w:rsidR="0023240E" w:rsidRDefault="0023240E" w:rsidP="00562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426B" w14:textId="77777777" w:rsidR="0083166E" w:rsidRDefault="0083166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478CF" w14:textId="4917A767" w:rsidR="00100B12" w:rsidRDefault="00100B12">
    <w:pPr>
      <w:pStyle w:val="Zhlav"/>
    </w:pPr>
    <w:r>
      <w:rPr>
        <w:noProof/>
      </w:rPr>
      <w:drawing>
        <wp:inline distT="0" distB="0" distL="0" distR="0" wp14:anchorId="149EF1FA" wp14:editId="30B5B3B3">
          <wp:extent cx="2390775" cy="81915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19150"/>
                  </a:xfrm>
                  <a:prstGeom prst="rect">
                    <a:avLst/>
                  </a:prstGeom>
                  <a:noFill/>
                </pic:spPr>
              </pic:pic>
            </a:graphicData>
          </a:graphic>
        </wp:inline>
      </w:drawing>
    </w:r>
  </w:p>
  <w:p w14:paraId="54AF3FCB" w14:textId="77777777" w:rsidR="00100B12" w:rsidRDefault="00100B12">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7F04F" w14:textId="77777777" w:rsidR="0083166E" w:rsidRDefault="0083166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712DA"/>
    <w:multiLevelType w:val="multilevel"/>
    <w:tmpl w:val="C192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65844"/>
    <w:multiLevelType w:val="hybridMultilevel"/>
    <w:tmpl w:val="0B68D0EA"/>
    <w:lvl w:ilvl="0" w:tplc="F468BB6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A1742B9"/>
    <w:multiLevelType w:val="multilevel"/>
    <w:tmpl w:val="FFC48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2924C9"/>
    <w:multiLevelType w:val="hybridMultilevel"/>
    <w:tmpl w:val="267E0610"/>
    <w:lvl w:ilvl="0" w:tplc="780E4818">
      <w:start w:val="495"/>
      <w:numFmt w:val="bullet"/>
      <w:lvlText w:val=""/>
      <w:lvlJc w:val="left"/>
      <w:pPr>
        <w:ind w:left="720" w:hanging="360"/>
      </w:pPr>
      <w:rPr>
        <w:rFonts w:ascii="Symbol" w:eastAsiaTheme="minorHAnsi" w:hAnsi="Symbol" w:cs="Calibri" w:hint="default"/>
        <w:sz w:val="18"/>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B350683"/>
    <w:multiLevelType w:val="hybridMultilevel"/>
    <w:tmpl w:val="53009C46"/>
    <w:lvl w:ilvl="0" w:tplc="0F0213FE">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31E5AA4"/>
    <w:multiLevelType w:val="hybridMultilevel"/>
    <w:tmpl w:val="16D8A13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6" w15:restartNumberingAfterBreak="0">
    <w:nsid w:val="66A75D35"/>
    <w:multiLevelType w:val="multilevel"/>
    <w:tmpl w:val="0034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505B7A"/>
    <w:multiLevelType w:val="hybridMultilevel"/>
    <w:tmpl w:val="2572E0CE"/>
    <w:lvl w:ilvl="0" w:tplc="F468BB6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766462357">
    <w:abstractNumId w:val="1"/>
  </w:num>
  <w:num w:numId="2" w16cid:durableId="399598377">
    <w:abstractNumId w:val="7"/>
  </w:num>
  <w:num w:numId="3" w16cid:durableId="977683985">
    <w:abstractNumId w:val="3"/>
  </w:num>
  <w:num w:numId="4" w16cid:durableId="393234583">
    <w:abstractNumId w:val="5"/>
  </w:num>
  <w:num w:numId="5" w16cid:durableId="337776179">
    <w:abstractNumId w:val="0"/>
  </w:num>
  <w:num w:numId="6" w16cid:durableId="582103093">
    <w:abstractNumId w:val="6"/>
  </w:num>
  <w:num w:numId="7" w16cid:durableId="12728757">
    <w:abstractNumId w:val="4"/>
  </w:num>
  <w:num w:numId="8" w16cid:durableId="267587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9F9"/>
    <w:rsid w:val="00013E77"/>
    <w:rsid w:val="00015161"/>
    <w:rsid w:val="00016EAB"/>
    <w:rsid w:val="0001752B"/>
    <w:rsid w:val="00017F82"/>
    <w:rsid w:val="00020168"/>
    <w:rsid w:val="00020253"/>
    <w:rsid w:val="00021742"/>
    <w:rsid w:val="00023472"/>
    <w:rsid w:val="0002623F"/>
    <w:rsid w:val="00027440"/>
    <w:rsid w:val="00033E87"/>
    <w:rsid w:val="000347C2"/>
    <w:rsid w:val="00034CF9"/>
    <w:rsid w:val="00036305"/>
    <w:rsid w:val="00036E1B"/>
    <w:rsid w:val="00037768"/>
    <w:rsid w:val="00040DA8"/>
    <w:rsid w:val="0004104E"/>
    <w:rsid w:val="0004213B"/>
    <w:rsid w:val="000432AC"/>
    <w:rsid w:val="000437B1"/>
    <w:rsid w:val="00044054"/>
    <w:rsid w:val="0004680D"/>
    <w:rsid w:val="00046B0F"/>
    <w:rsid w:val="000510E0"/>
    <w:rsid w:val="00051E5C"/>
    <w:rsid w:val="0005203F"/>
    <w:rsid w:val="0005212A"/>
    <w:rsid w:val="000579E8"/>
    <w:rsid w:val="00062404"/>
    <w:rsid w:val="00063136"/>
    <w:rsid w:val="00063DEF"/>
    <w:rsid w:val="00063E69"/>
    <w:rsid w:val="00066787"/>
    <w:rsid w:val="00071C5D"/>
    <w:rsid w:val="0007214F"/>
    <w:rsid w:val="00073B4E"/>
    <w:rsid w:val="000749B1"/>
    <w:rsid w:val="00074C0C"/>
    <w:rsid w:val="00074FEA"/>
    <w:rsid w:val="000757D9"/>
    <w:rsid w:val="00077059"/>
    <w:rsid w:val="00077262"/>
    <w:rsid w:val="00080E11"/>
    <w:rsid w:val="00081FD7"/>
    <w:rsid w:val="00086699"/>
    <w:rsid w:val="00087484"/>
    <w:rsid w:val="00087C81"/>
    <w:rsid w:val="00087CD2"/>
    <w:rsid w:val="000918B3"/>
    <w:rsid w:val="00091F7C"/>
    <w:rsid w:val="00095EBA"/>
    <w:rsid w:val="000A07F8"/>
    <w:rsid w:val="000A0CCE"/>
    <w:rsid w:val="000A469D"/>
    <w:rsid w:val="000A528A"/>
    <w:rsid w:val="000A6F23"/>
    <w:rsid w:val="000A7F90"/>
    <w:rsid w:val="000B01A8"/>
    <w:rsid w:val="000B26C1"/>
    <w:rsid w:val="000B365B"/>
    <w:rsid w:val="000B620C"/>
    <w:rsid w:val="000B6318"/>
    <w:rsid w:val="000C0AED"/>
    <w:rsid w:val="000C1EBF"/>
    <w:rsid w:val="000C341E"/>
    <w:rsid w:val="000C3E6D"/>
    <w:rsid w:val="000C46BC"/>
    <w:rsid w:val="000C4F24"/>
    <w:rsid w:val="000C50C8"/>
    <w:rsid w:val="000C7437"/>
    <w:rsid w:val="000D056D"/>
    <w:rsid w:val="000D1D17"/>
    <w:rsid w:val="000D1EF3"/>
    <w:rsid w:val="000D3808"/>
    <w:rsid w:val="000D396E"/>
    <w:rsid w:val="000D453A"/>
    <w:rsid w:val="000D50FF"/>
    <w:rsid w:val="000D5843"/>
    <w:rsid w:val="000D5EAA"/>
    <w:rsid w:val="000D6839"/>
    <w:rsid w:val="000D70E1"/>
    <w:rsid w:val="000E12EA"/>
    <w:rsid w:val="000E4B20"/>
    <w:rsid w:val="000E6F33"/>
    <w:rsid w:val="000E76E3"/>
    <w:rsid w:val="000E7A29"/>
    <w:rsid w:val="000F474E"/>
    <w:rsid w:val="000F647D"/>
    <w:rsid w:val="00100117"/>
    <w:rsid w:val="00100B12"/>
    <w:rsid w:val="00101C24"/>
    <w:rsid w:val="00101F78"/>
    <w:rsid w:val="00102D34"/>
    <w:rsid w:val="00105C8B"/>
    <w:rsid w:val="001110E4"/>
    <w:rsid w:val="00112A94"/>
    <w:rsid w:val="001155A2"/>
    <w:rsid w:val="00116B9C"/>
    <w:rsid w:val="0012331E"/>
    <w:rsid w:val="0012386C"/>
    <w:rsid w:val="0012392A"/>
    <w:rsid w:val="00126500"/>
    <w:rsid w:val="001302E7"/>
    <w:rsid w:val="00130B65"/>
    <w:rsid w:val="00130CF9"/>
    <w:rsid w:val="001320C9"/>
    <w:rsid w:val="00132679"/>
    <w:rsid w:val="00132E77"/>
    <w:rsid w:val="00134071"/>
    <w:rsid w:val="00134DAD"/>
    <w:rsid w:val="00135973"/>
    <w:rsid w:val="00136236"/>
    <w:rsid w:val="00136CBA"/>
    <w:rsid w:val="0013715D"/>
    <w:rsid w:val="00137D24"/>
    <w:rsid w:val="00137F20"/>
    <w:rsid w:val="00141083"/>
    <w:rsid w:val="00141A21"/>
    <w:rsid w:val="00141EF8"/>
    <w:rsid w:val="00142077"/>
    <w:rsid w:val="0014226E"/>
    <w:rsid w:val="0014296F"/>
    <w:rsid w:val="00142E55"/>
    <w:rsid w:val="00144517"/>
    <w:rsid w:val="001450D2"/>
    <w:rsid w:val="00145276"/>
    <w:rsid w:val="00146621"/>
    <w:rsid w:val="00150549"/>
    <w:rsid w:val="00150B2B"/>
    <w:rsid w:val="00151ADE"/>
    <w:rsid w:val="0015339E"/>
    <w:rsid w:val="00153CE7"/>
    <w:rsid w:val="001553E4"/>
    <w:rsid w:val="0015588A"/>
    <w:rsid w:val="001558AA"/>
    <w:rsid w:val="0015646E"/>
    <w:rsid w:val="001579C4"/>
    <w:rsid w:val="001601FC"/>
    <w:rsid w:val="00162753"/>
    <w:rsid w:val="00162FF8"/>
    <w:rsid w:val="0016599F"/>
    <w:rsid w:val="001669EE"/>
    <w:rsid w:val="00167A79"/>
    <w:rsid w:val="0017023E"/>
    <w:rsid w:val="00171F2B"/>
    <w:rsid w:val="00172C01"/>
    <w:rsid w:val="00173D2C"/>
    <w:rsid w:val="0017668E"/>
    <w:rsid w:val="001822DE"/>
    <w:rsid w:val="00184AE6"/>
    <w:rsid w:val="001856B4"/>
    <w:rsid w:val="001904A2"/>
    <w:rsid w:val="00190874"/>
    <w:rsid w:val="00191AF0"/>
    <w:rsid w:val="00195709"/>
    <w:rsid w:val="00195BBC"/>
    <w:rsid w:val="001965FF"/>
    <w:rsid w:val="00196D88"/>
    <w:rsid w:val="00196E50"/>
    <w:rsid w:val="00197C32"/>
    <w:rsid w:val="00197F85"/>
    <w:rsid w:val="001A04C0"/>
    <w:rsid w:val="001A136C"/>
    <w:rsid w:val="001A3D95"/>
    <w:rsid w:val="001B32B9"/>
    <w:rsid w:val="001B4A23"/>
    <w:rsid w:val="001B62CE"/>
    <w:rsid w:val="001B7B7D"/>
    <w:rsid w:val="001C1C9B"/>
    <w:rsid w:val="001C2BD1"/>
    <w:rsid w:val="001C7756"/>
    <w:rsid w:val="001C7F3C"/>
    <w:rsid w:val="001C7FA1"/>
    <w:rsid w:val="001D3812"/>
    <w:rsid w:val="001D4847"/>
    <w:rsid w:val="001D4AA4"/>
    <w:rsid w:val="001D4E66"/>
    <w:rsid w:val="001D58AA"/>
    <w:rsid w:val="001D5AAD"/>
    <w:rsid w:val="001D69F9"/>
    <w:rsid w:val="001E1728"/>
    <w:rsid w:val="001E2369"/>
    <w:rsid w:val="001E324D"/>
    <w:rsid w:val="001E38E5"/>
    <w:rsid w:val="001E3D4B"/>
    <w:rsid w:val="001E3D73"/>
    <w:rsid w:val="001F4971"/>
    <w:rsid w:val="001F5D10"/>
    <w:rsid w:val="001F6B56"/>
    <w:rsid w:val="0020553E"/>
    <w:rsid w:val="00205639"/>
    <w:rsid w:val="00205849"/>
    <w:rsid w:val="00205923"/>
    <w:rsid w:val="002067D6"/>
    <w:rsid w:val="0021328D"/>
    <w:rsid w:val="00215EE9"/>
    <w:rsid w:val="00216350"/>
    <w:rsid w:val="0022105C"/>
    <w:rsid w:val="00221B4C"/>
    <w:rsid w:val="002222FF"/>
    <w:rsid w:val="00222489"/>
    <w:rsid w:val="0022566F"/>
    <w:rsid w:val="0022683B"/>
    <w:rsid w:val="0023116C"/>
    <w:rsid w:val="002315E6"/>
    <w:rsid w:val="0023240E"/>
    <w:rsid w:val="0023248A"/>
    <w:rsid w:val="00232855"/>
    <w:rsid w:val="00236777"/>
    <w:rsid w:val="00237FEF"/>
    <w:rsid w:val="002430B7"/>
    <w:rsid w:val="00244D6C"/>
    <w:rsid w:val="002455DD"/>
    <w:rsid w:val="00245827"/>
    <w:rsid w:val="00245E11"/>
    <w:rsid w:val="0024676D"/>
    <w:rsid w:val="00246AC7"/>
    <w:rsid w:val="00246EC4"/>
    <w:rsid w:val="00250439"/>
    <w:rsid w:val="002525B6"/>
    <w:rsid w:val="002548FB"/>
    <w:rsid w:val="00254C19"/>
    <w:rsid w:val="00255F48"/>
    <w:rsid w:val="00256670"/>
    <w:rsid w:val="00256A92"/>
    <w:rsid w:val="00256FA4"/>
    <w:rsid w:val="00264966"/>
    <w:rsid w:val="00265073"/>
    <w:rsid w:val="0026535B"/>
    <w:rsid w:val="00267FCE"/>
    <w:rsid w:val="00271347"/>
    <w:rsid w:val="00271E28"/>
    <w:rsid w:val="00273FBE"/>
    <w:rsid w:val="00280DBA"/>
    <w:rsid w:val="00282956"/>
    <w:rsid w:val="002829A7"/>
    <w:rsid w:val="00284A50"/>
    <w:rsid w:val="0028692E"/>
    <w:rsid w:val="0028732B"/>
    <w:rsid w:val="00296CB4"/>
    <w:rsid w:val="002974E4"/>
    <w:rsid w:val="002A00B2"/>
    <w:rsid w:val="002A3588"/>
    <w:rsid w:val="002A4117"/>
    <w:rsid w:val="002B01E4"/>
    <w:rsid w:val="002B2C22"/>
    <w:rsid w:val="002B42D2"/>
    <w:rsid w:val="002B4367"/>
    <w:rsid w:val="002B47A2"/>
    <w:rsid w:val="002B4D15"/>
    <w:rsid w:val="002B7F19"/>
    <w:rsid w:val="002C00BC"/>
    <w:rsid w:val="002C0299"/>
    <w:rsid w:val="002C20A9"/>
    <w:rsid w:val="002C3070"/>
    <w:rsid w:val="002C3824"/>
    <w:rsid w:val="002C4AC0"/>
    <w:rsid w:val="002C541E"/>
    <w:rsid w:val="002C645A"/>
    <w:rsid w:val="002D183E"/>
    <w:rsid w:val="002D536C"/>
    <w:rsid w:val="002D5F9D"/>
    <w:rsid w:val="002D743B"/>
    <w:rsid w:val="002D74BA"/>
    <w:rsid w:val="002E1CCB"/>
    <w:rsid w:val="002E2014"/>
    <w:rsid w:val="002E2D9A"/>
    <w:rsid w:val="002E3FFA"/>
    <w:rsid w:val="002E4B3D"/>
    <w:rsid w:val="002E536C"/>
    <w:rsid w:val="002E66DB"/>
    <w:rsid w:val="002F0974"/>
    <w:rsid w:val="002F0C6D"/>
    <w:rsid w:val="002F36FF"/>
    <w:rsid w:val="002F3F68"/>
    <w:rsid w:val="002F4278"/>
    <w:rsid w:val="002F493A"/>
    <w:rsid w:val="002F4F9A"/>
    <w:rsid w:val="00301455"/>
    <w:rsid w:val="00301E39"/>
    <w:rsid w:val="003042D3"/>
    <w:rsid w:val="00305600"/>
    <w:rsid w:val="0030647E"/>
    <w:rsid w:val="00306A0B"/>
    <w:rsid w:val="0031017D"/>
    <w:rsid w:val="00310214"/>
    <w:rsid w:val="0031219F"/>
    <w:rsid w:val="00313A99"/>
    <w:rsid w:val="00313CC3"/>
    <w:rsid w:val="003152B9"/>
    <w:rsid w:val="003152E2"/>
    <w:rsid w:val="00315D5D"/>
    <w:rsid w:val="0031688F"/>
    <w:rsid w:val="003168EE"/>
    <w:rsid w:val="0031705A"/>
    <w:rsid w:val="00317FB2"/>
    <w:rsid w:val="00320C59"/>
    <w:rsid w:val="0032135D"/>
    <w:rsid w:val="00323D82"/>
    <w:rsid w:val="00323D85"/>
    <w:rsid w:val="003242BC"/>
    <w:rsid w:val="003261F3"/>
    <w:rsid w:val="003263F1"/>
    <w:rsid w:val="0032653B"/>
    <w:rsid w:val="00327FCF"/>
    <w:rsid w:val="0033190C"/>
    <w:rsid w:val="003326A5"/>
    <w:rsid w:val="00342491"/>
    <w:rsid w:val="00342C2F"/>
    <w:rsid w:val="00343486"/>
    <w:rsid w:val="0034350B"/>
    <w:rsid w:val="00345194"/>
    <w:rsid w:val="00345580"/>
    <w:rsid w:val="00346575"/>
    <w:rsid w:val="00346D24"/>
    <w:rsid w:val="00350270"/>
    <w:rsid w:val="0035253C"/>
    <w:rsid w:val="003556D1"/>
    <w:rsid w:val="0035629E"/>
    <w:rsid w:val="00357D47"/>
    <w:rsid w:val="00360EE6"/>
    <w:rsid w:val="003625A5"/>
    <w:rsid w:val="00363EF5"/>
    <w:rsid w:val="00364F0F"/>
    <w:rsid w:val="0036528F"/>
    <w:rsid w:val="0036625D"/>
    <w:rsid w:val="003668A0"/>
    <w:rsid w:val="00367FFC"/>
    <w:rsid w:val="00370144"/>
    <w:rsid w:val="00370155"/>
    <w:rsid w:val="003741D3"/>
    <w:rsid w:val="00377EFB"/>
    <w:rsid w:val="00380545"/>
    <w:rsid w:val="00382059"/>
    <w:rsid w:val="00382DAC"/>
    <w:rsid w:val="00383D55"/>
    <w:rsid w:val="00390BBD"/>
    <w:rsid w:val="003914E3"/>
    <w:rsid w:val="00393583"/>
    <w:rsid w:val="00393625"/>
    <w:rsid w:val="00393F3B"/>
    <w:rsid w:val="0039430D"/>
    <w:rsid w:val="00394EBF"/>
    <w:rsid w:val="003A00E5"/>
    <w:rsid w:val="003A01FF"/>
    <w:rsid w:val="003A399F"/>
    <w:rsid w:val="003A39AB"/>
    <w:rsid w:val="003A3CFC"/>
    <w:rsid w:val="003A3E4C"/>
    <w:rsid w:val="003A4E84"/>
    <w:rsid w:val="003A5667"/>
    <w:rsid w:val="003A58C7"/>
    <w:rsid w:val="003B2690"/>
    <w:rsid w:val="003B2880"/>
    <w:rsid w:val="003B300A"/>
    <w:rsid w:val="003B4648"/>
    <w:rsid w:val="003B512C"/>
    <w:rsid w:val="003B7593"/>
    <w:rsid w:val="003B76DE"/>
    <w:rsid w:val="003B7A44"/>
    <w:rsid w:val="003C071C"/>
    <w:rsid w:val="003C265A"/>
    <w:rsid w:val="003C2CB8"/>
    <w:rsid w:val="003C639D"/>
    <w:rsid w:val="003D0C82"/>
    <w:rsid w:val="003D0CE8"/>
    <w:rsid w:val="003D6504"/>
    <w:rsid w:val="003D7C0F"/>
    <w:rsid w:val="003D7FB9"/>
    <w:rsid w:val="003E0990"/>
    <w:rsid w:val="003E1699"/>
    <w:rsid w:val="003E5BF4"/>
    <w:rsid w:val="003E6A12"/>
    <w:rsid w:val="003E6C54"/>
    <w:rsid w:val="003E747C"/>
    <w:rsid w:val="003F1EA6"/>
    <w:rsid w:val="003F5432"/>
    <w:rsid w:val="003F5497"/>
    <w:rsid w:val="003F5B17"/>
    <w:rsid w:val="003F621E"/>
    <w:rsid w:val="003F63EF"/>
    <w:rsid w:val="003F6FA7"/>
    <w:rsid w:val="00400E62"/>
    <w:rsid w:val="00401263"/>
    <w:rsid w:val="00401B37"/>
    <w:rsid w:val="00402BDB"/>
    <w:rsid w:val="004030ED"/>
    <w:rsid w:val="004037CC"/>
    <w:rsid w:val="00407918"/>
    <w:rsid w:val="00407CAC"/>
    <w:rsid w:val="00407E18"/>
    <w:rsid w:val="00410AEF"/>
    <w:rsid w:val="0041158D"/>
    <w:rsid w:val="0041191D"/>
    <w:rsid w:val="00412006"/>
    <w:rsid w:val="0041296B"/>
    <w:rsid w:val="00420777"/>
    <w:rsid w:val="0042200A"/>
    <w:rsid w:val="00424E63"/>
    <w:rsid w:val="00424FA1"/>
    <w:rsid w:val="00426819"/>
    <w:rsid w:val="004334D2"/>
    <w:rsid w:val="004343C7"/>
    <w:rsid w:val="00435C62"/>
    <w:rsid w:val="00436DE8"/>
    <w:rsid w:val="004401B2"/>
    <w:rsid w:val="004442A6"/>
    <w:rsid w:val="00444904"/>
    <w:rsid w:val="004474A3"/>
    <w:rsid w:val="00452E84"/>
    <w:rsid w:val="0045355B"/>
    <w:rsid w:val="00453AAA"/>
    <w:rsid w:val="00454385"/>
    <w:rsid w:val="004546B4"/>
    <w:rsid w:val="004549D4"/>
    <w:rsid w:val="00454E58"/>
    <w:rsid w:val="00454FA6"/>
    <w:rsid w:val="004576AE"/>
    <w:rsid w:val="00457A60"/>
    <w:rsid w:val="004602CF"/>
    <w:rsid w:val="00460E85"/>
    <w:rsid w:val="00462365"/>
    <w:rsid w:val="00465B64"/>
    <w:rsid w:val="00467974"/>
    <w:rsid w:val="00471577"/>
    <w:rsid w:val="00471916"/>
    <w:rsid w:val="00471A19"/>
    <w:rsid w:val="00471F2D"/>
    <w:rsid w:val="00472A42"/>
    <w:rsid w:val="00473D10"/>
    <w:rsid w:val="00474109"/>
    <w:rsid w:val="00476182"/>
    <w:rsid w:val="0047627B"/>
    <w:rsid w:val="00481CD3"/>
    <w:rsid w:val="00481EEA"/>
    <w:rsid w:val="004852BB"/>
    <w:rsid w:val="00486817"/>
    <w:rsid w:val="00486EE4"/>
    <w:rsid w:val="004870CC"/>
    <w:rsid w:val="00487F32"/>
    <w:rsid w:val="004907AD"/>
    <w:rsid w:val="00492D75"/>
    <w:rsid w:val="00495A6A"/>
    <w:rsid w:val="004A095E"/>
    <w:rsid w:val="004A1469"/>
    <w:rsid w:val="004A15AD"/>
    <w:rsid w:val="004A3B13"/>
    <w:rsid w:val="004A5539"/>
    <w:rsid w:val="004A7049"/>
    <w:rsid w:val="004B0986"/>
    <w:rsid w:val="004B5025"/>
    <w:rsid w:val="004B6638"/>
    <w:rsid w:val="004B672A"/>
    <w:rsid w:val="004B7036"/>
    <w:rsid w:val="004C0110"/>
    <w:rsid w:val="004C0ACC"/>
    <w:rsid w:val="004C1187"/>
    <w:rsid w:val="004C33C7"/>
    <w:rsid w:val="004C3C7F"/>
    <w:rsid w:val="004C6650"/>
    <w:rsid w:val="004D16B0"/>
    <w:rsid w:val="004D343F"/>
    <w:rsid w:val="004D4583"/>
    <w:rsid w:val="004D4622"/>
    <w:rsid w:val="004D4670"/>
    <w:rsid w:val="004D4744"/>
    <w:rsid w:val="004D6FF6"/>
    <w:rsid w:val="004E0C40"/>
    <w:rsid w:val="004E1571"/>
    <w:rsid w:val="004E1A61"/>
    <w:rsid w:val="004E3062"/>
    <w:rsid w:val="004E31F8"/>
    <w:rsid w:val="004E3697"/>
    <w:rsid w:val="004E43D1"/>
    <w:rsid w:val="004E574B"/>
    <w:rsid w:val="004E5DCF"/>
    <w:rsid w:val="004E6417"/>
    <w:rsid w:val="004E6D2E"/>
    <w:rsid w:val="004E6E81"/>
    <w:rsid w:val="004E6EB9"/>
    <w:rsid w:val="004F0BA3"/>
    <w:rsid w:val="004F32AF"/>
    <w:rsid w:val="004F3E75"/>
    <w:rsid w:val="004F49D1"/>
    <w:rsid w:val="004F5A20"/>
    <w:rsid w:val="004F646E"/>
    <w:rsid w:val="004F7164"/>
    <w:rsid w:val="00500030"/>
    <w:rsid w:val="0050327A"/>
    <w:rsid w:val="005051D9"/>
    <w:rsid w:val="00507A6B"/>
    <w:rsid w:val="00510DDC"/>
    <w:rsid w:val="00510E7B"/>
    <w:rsid w:val="0051114F"/>
    <w:rsid w:val="00511A36"/>
    <w:rsid w:val="005135FE"/>
    <w:rsid w:val="00514207"/>
    <w:rsid w:val="005145CE"/>
    <w:rsid w:val="005145D8"/>
    <w:rsid w:val="00516F38"/>
    <w:rsid w:val="005212BF"/>
    <w:rsid w:val="0052268E"/>
    <w:rsid w:val="00524782"/>
    <w:rsid w:val="00525334"/>
    <w:rsid w:val="00526CF3"/>
    <w:rsid w:val="0052708D"/>
    <w:rsid w:val="00531B89"/>
    <w:rsid w:val="00531F13"/>
    <w:rsid w:val="005333F3"/>
    <w:rsid w:val="00533D41"/>
    <w:rsid w:val="00536175"/>
    <w:rsid w:val="005372F2"/>
    <w:rsid w:val="00537689"/>
    <w:rsid w:val="00540B14"/>
    <w:rsid w:val="00540D1D"/>
    <w:rsid w:val="005423A9"/>
    <w:rsid w:val="00542655"/>
    <w:rsid w:val="0054307B"/>
    <w:rsid w:val="00546AA6"/>
    <w:rsid w:val="005516BE"/>
    <w:rsid w:val="00551DCA"/>
    <w:rsid w:val="00556FD6"/>
    <w:rsid w:val="00560C0E"/>
    <w:rsid w:val="00561BE4"/>
    <w:rsid w:val="005629F9"/>
    <w:rsid w:val="00563090"/>
    <w:rsid w:val="00564242"/>
    <w:rsid w:val="00564E74"/>
    <w:rsid w:val="00574737"/>
    <w:rsid w:val="00574CA2"/>
    <w:rsid w:val="0057554E"/>
    <w:rsid w:val="00576B87"/>
    <w:rsid w:val="005819DB"/>
    <w:rsid w:val="00583590"/>
    <w:rsid w:val="005845EB"/>
    <w:rsid w:val="00586AC1"/>
    <w:rsid w:val="0058751B"/>
    <w:rsid w:val="00587D80"/>
    <w:rsid w:val="00587E99"/>
    <w:rsid w:val="005923B5"/>
    <w:rsid w:val="00592B92"/>
    <w:rsid w:val="0059320A"/>
    <w:rsid w:val="005936CD"/>
    <w:rsid w:val="005949F2"/>
    <w:rsid w:val="00595734"/>
    <w:rsid w:val="005A1D51"/>
    <w:rsid w:val="005A2AFD"/>
    <w:rsid w:val="005A6680"/>
    <w:rsid w:val="005B0BAA"/>
    <w:rsid w:val="005B109B"/>
    <w:rsid w:val="005B18AE"/>
    <w:rsid w:val="005B19DE"/>
    <w:rsid w:val="005B2347"/>
    <w:rsid w:val="005B3F82"/>
    <w:rsid w:val="005B7BCA"/>
    <w:rsid w:val="005C372E"/>
    <w:rsid w:val="005C383A"/>
    <w:rsid w:val="005C5B2B"/>
    <w:rsid w:val="005C7462"/>
    <w:rsid w:val="005D1D6F"/>
    <w:rsid w:val="005D2D05"/>
    <w:rsid w:val="005D2D89"/>
    <w:rsid w:val="005D2FB1"/>
    <w:rsid w:val="005D6FD6"/>
    <w:rsid w:val="005E01F4"/>
    <w:rsid w:val="005E518D"/>
    <w:rsid w:val="005F0937"/>
    <w:rsid w:val="005F0BDD"/>
    <w:rsid w:val="005F1BDB"/>
    <w:rsid w:val="005F21EA"/>
    <w:rsid w:val="005F3F58"/>
    <w:rsid w:val="005F55E3"/>
    <w:rsid w:val="005F5612"/>
    <w:rsid w:val="005F6BB1"/>
    <w:rsid w:val="005F7DC7"/>
    <w:rsid w:val="00602525"/>
    <w:rsid w:val="006045F4"/>
    <w:rsid w:val="006049F2"/>
    <w:rsid w:val="00606948"/>
    <w:rsid w:val="00606C5A"/>
    <w:rsid w:val="00607FAD"/>
    <w:rsid w:val="006157F1"/>
    <w:rsid w:val="0061736B"/>
    <w:rsid w:val="0062040A"/>
    <w:rsid w:val="00620D9A"/>
    <w:rsid w:val="006212A6"/>
    <w:rsid w:val="00623487"/>
    <w:rsid w:val="00623BA3"/>
    <w:rsid w:val="00623D1C"/>
    <w:rsid w:val="00625008"/>
    <w:rsid w:val="006254BC"/>
    <w:rsid w:val="00625A44"/>
    <w:rsid w:val="00627166"/>
    <w:rsid w:val="0063033D"/>
    <w:rsid w:val="006305CD"/>
    <w:rsid w:val="006328E9"/>
    <w:rsid w:val="00632D65"/>
    <w:rsid w:val="00633434"/>
    <w:rsid w:val="00634065"/>
    <w:rsid w:val="006358CF"/>
    <w:rsid w:val="00635A1F"/>
    <w:rsid w:val="00640612"/>
    <w:rsid w:val="00641A38"/>
    <w:rsid w:val="00645CDA"/>
    <w:rsid w:val="006523F3"/>
    <w:rsid w:val="00656809"/>
    <w:rsid w:val="00656B59"/>
    <w:rsid w:val="00661542"/>
    <w:rsid w:val="00663AAC"/>
    <w:rsid w:val="00663D81"/>
    <w:rsid w:val="00665AE4"/>
    <w:rsid w:val="00666A6C"/>
    <w:rsid w:val="00666F1A"/>
    <w:rsid w:val="006678E8"/>
    <w:rsid w:val="00671B4F"/>
    <w:rsid w:val="00672CE8"/>
    <w:rsid w:val="006732E8"/>
    <w:rsid w:val="00673E32"/>
    <w:rsid w:val="00674A2B"/>
    <w:rsid w:val="00675F33"/>
    <w:rsid w:val="00677199"/>
    <w:rsid w:val="0067797E"/>
    <w:rsid w:val="00680E9B"/>
    <w:rsid w:val="00683C7E"/>
    <w:rsid w:val="00684018"/>
    <w:rsid w:val="00684028"/>
    <w:rsid w:val="00684CB2"/>
    <w:rsid w:val="00686067"/>
    <w:rsid w:val="00686E93"/>
    <w:rsid w:val="00695C2E"/>
    <w:rsid w:val="006A0829"/>
    <w:rsid w:val="006A4F0B"/>
    <w:rsid w:val="006A6BD1"/>
    <w:rsid w:val="006B1968"/>
    <w:rsid w:val="006B1C26"/>
    <w:rsid w:val="006B444B"/>
    <w:rsid w:val="006B4A95"/>
    <w:rsid w:val="006B6602"/>
    <w:rsid w:val="006C071D"/>
    <w:rsid w:val="006C08DD"/>
    <w:rsid w:val="006C1277"/>
    <w:rsid w:val="006C1BB0"/>
    <w:rsid w:val="006C2010"/>
    <w:rsid w:val="006C4999"/>
    <w:rsid w:val="006C4C08"/>
    <w:rsid w:val="006C64BC"/>
    <w:rsid w:val="006D0AB4"/>
    <w:rsid w:val="006D0DAB"/>
    <w:rsid w:val="006D1480"/>
    <w:rsid w:val="006D2096"/>
    <w:rsid w:val="006D2206"/>
    <w:rsid w:val="006D3E8C"/>
    <w:rsid w:val="006D6E59"/>
    <w:rsid w:val="006E01D7"/>
    <w:rsid w:val="006E1211"/>
    <w:rsid w:val="006E1796"/>
    <w:rsid w:val="006E2F96"/>
    <w:rsid w:val="006E716A"/>
    <w:rsid w:val="006E743C"/>
    <w:rsid w:val="006F04C7"/>
    <w:rsid w:val="006F515F"/>
    <w:rsid w:val="006F6ACC"/>
    <w:rsid w:val="00700E4F"/>
    <w:rsid w:val="00705BD6"/>
    <w:rsid w:val="0070684D"/>
    <w:rsid w:val="007100A3"/>
    <w:rsid w:val="0071020D"/>
    <w:rsid w:val="007103EA"/>
    <w:rsid w:val="00713E03"/>
    <w:rsid w:val="007142AC"/>
    <w:rsid w:val="00717756"/>
    <w:rsid w:val="0072032F"/>
    <w:rsid w:val="00722BF2"/>
    <w:rsid w:val="00723133"/>
    <w:rsid w:val="00723B2F"/>
    <w:rsid w:val="00723C75"/>
    <w:rsid w:val="0072507D"/>
    <w:rsid w:val="00725CF8"/>
    <w:rsid w:val="00730133"/>
    <w:rsid w:val="007305F1"/>
    <w:rsid w:val="00731B6A"/>
    <w:rsid w:val="00732DE0"/>
    <w:rsid w:val="0073354A"/>
    <w:rsid w:val="0073511D"/>
    <w:rsid w:val="00735CF7"/>
    <w:rsid w:val="0073698F"/>
    <w:rsid w:val="00740123"/>
    <w:rsid w:val="007406FA"/>
    <w:rsid w:val="007418A9"/>
    <w:rsid w:val="00742711"/>
    <w:rsid w:val="00743B22"/>
    <w:rsid w:val="00743CFA"/>
    <w:rsid w:val="007442B8"/>
    <w:rsid w:val="0074469D"/>
    <w:rsid w:val="00744A27"/>
    <w:rsid w:val="00745798"/>
    <w:rsid w:val="00747079"/>
    <w:rsid w:val="00747A6A"/>
    <w:rsid w:val="00747B59"/>
    <w:rsid w:val="00755801"/>
    <w:rsid w:val="00755914"/>
    <w:rsid w:val="0075654D"/>
    <w:rsid w:val="00757C7F"/>
    <w:rsid w:val="0076018D"/>
    <w:rsid w:val="0076083D"/>
    <w:rsid w:val="007609E6"/>
    <w:rsid w:val="0076125E"/>
    <w:rsid w:val="00761AC4"/>
    <w:rsid w:val="00761DD3"/>
    <w:rsid w:val="00766351"/>
    <w:rsid w:val="00766369"/>
    <w:rsid w:val="007669E0"/>
    <w:rsid w:val="00770D4C"/>
    <w:rsid w:val="00771952"/>
    <w:rsid w:val="0077376E"/>
    <w:rsid w:val="00774457"/>
    <w:rsid w:val="00774A21"/>
    <w:rsid w:val="00775691"/>
    <w:rsid w:val="00775CA0"/>
    <w:rsid w:val="00780CDE"/>
    <w:rsid w:val="0078196A"/>
    <w:rsid w:val="00781AA5"/>
    <w:rsid w:val="00783CB5"/>
    <w:rsid w:val="00784C92"/>
    <w:rsid w:val="0078540B"/>
    <w:rsid w:val="00790505"/>
    <w:rsid w:val="00792A24"/>
    <w:rsid w:val="00796E4E"/>
    <w:rsid w:val="007A0819"/>
    <w:rsid w:val="007A19B1"/>
    <w:rsid w:val="007A4E07"/>
    <w:rsid w:val="007A5684"/>
    <w:rsid w:val="007A6BD6"/>
    <w:rsid w:val="007A72E2"/>
    <w:rsid w:val="007B07CF"/>
    <w:rsid w:val="007B09EA"/>
    <w:rsid w:val="007B118E"/>
    <w:rsid w:val="007B26A9"/>
    <w:rsid w:val="007B60D1"/>
    <w:rsid w:val="007B799F"/>
    <w:rsid w:val="007C19B3"/>
    <w:rsid w:val="007C2149"/>
    <w:rsid w:val="007C2471"/>
    <w:rsid w:val="007C35D3"/>
    <w:rsid w:val="007C4943"/>
    <w:rsid w:val="007C64C3"/>
    <w:rsid w:val="007C7DC3"/>
    <w:rsid w:val="007D0AA6"/>
    <w:rsid w:val="007D3110"/>
    <w:rsid w:val="007D4102"/>
    <w:rsid w:val="007D4780"/>
    <w:rsid w:val="007D48DC"/>
    <w:rsid w:val="007D750B"/>
    <w:rsid w:val="007E08A8"/>
    <w:rsid w:val="007E1B29"/>
    <w:rsid w:val="007E45D0"/>
    <w:rsid w:val="007E5970"/>
    <w:rsid w:val="007F0E9C"/>
    <w:rsid w:val="007F15BF"/>
    <w:rsid w:val="007F5B26"/>
    <w:rsid w:val="007F69EE"/>
    <w:rsid w:val="007F7B4F"/>
    <w:rsid w:val="00801F15"/>
    <w:rsid w:val="0080225D"/>
    <w:rsid w:val="00802A22"/>
    <w:rsid w:val="00803774"/>
    <w:rsid w:val="0080606F"/>
    <w:rsid w:val="008100AB"/>
    <w:rsid w:val="008102B8"/>
    <w:rsid w:val="0081080F"/>
    <w:rsid w:val="008124DB"/>
    <w:rsid w:val="00813317"/>
    <w:rsid w:val="00814930"/>
    <w:rsid w:val="00814B71"/>
    <w:rsid w:val="00815BF6"/>
    <w:rsid w:val="008170BE"/>
    <w:rsid w:val="00817D71"/>
    <w:rsid w:val="00822FF9"/>
    <w:rsid w:val="00823337"/>
    <w:rsid w:val="00823388"/>
    <w:rsid w:val="008258DA"/>
    <w:rsid w:val="0083166E"/>
    <w:rsid w:val="0083169A"/>
    <w:rsid w:val="008319BA"/>
    <w:rsid w:val="00833398"/>
    <w:rsid w:val="00834621"/>
    <w:rsid w:val="0083525E"/>
    <w:rsid w:val="00836633"/>
    <w:rsid w:val="00836FB8"/>
    <w:rsid w:val="008521AF"/>
    <w:rsid w:val="008521C0"/>
    <w:rsid w:val="00854323"/>
    <w:rsid w:val="008601C2"/>
    <w:rsid w:val="008612DD"/>
    <w:rsid w:val="00861E4F"/>
    <w:rsid w:val="0086497C"/>
    <w:rsid w:val="008656B6"/>
    <w:rsid w:val="00871B6A"/>
    <w:rsid w:val="008821DE"/>
    <w:rsid w:val="008822AE"/>
    <w:rsid w:val="0088357D"/>
    <w:rsid w:val="00883BEB"/>
    <w:rsid w:val="00891DA5"/>
    <w:rsid w:val="00895B24"/>
    <w:rsid w:val="00897F6F"/>
    <w:rsid w:val="008A2C5A"/>
    <w:rsid w:val="008A5501"/>
    <w:rsid w:val="008A5E38"/>
    <w:rsid w:val="008A7D8E"/>
    <w:rsid w:val="008B160F"/>
    <w:rsid w:val="008B1E68"/>
    <w:rsid w:val="008B4574"/>
    <w:rsid w:val="008B5C92"/>
    <w:rsid w:val="008C0C47"/>
    <w:rsid w:val="008C165B"/>
    <w:rsid w:val="008C2D2B"/>
    <w:rsid w:val="008C4E6C"/>
    <w:rsid w:val="008C58C0"/>
    <w:rsid w:val="008C6A43"/>
    <w:rsid w:val="008C7DA6"/>
    <w:rsid w:val="008D0591"/>
    <w:rsid w:val="008D3094"/>
    <w:rsid w:val="008D35EC"/>
    <w:rsid w:val="008D39E8"/>
    <w:rsid w:val="008D49D9"/>
    <w:rsid w:val="008D5FE9"/>
    <w:rsid w:val="008D6B0E"/>
    <w:rsid w:val="008E049F"/>
    <w:rsid w:val="008E337C"/>
    <w:rsid w:val="008E3DAD"/>
    <w:rsid w:val="008E606C"/>
    <w:rsid w:val="008E7AB6"/>
    <w:rsid w:val="008F05A4"/>
    <w:rsid w:val="008F07BD"/>
    <w:rsid w:val="008F099C"/>
    <w:rsid w:val="008F09AD"/>
    <w:rsid w:val="008F0CCC"/>
    <w:rsid w:val="008F225D"/>
    <w:rsid w:val="008F282C"/>
    <w:rsid w:val="008F2A10"/>
    <w:rsid w:val="008F2BD9"/>
    <w:rsid w:val="008F344C"/>
    <w:rsid w:val="008F583C"/>
    <w:rsid w:val="00900143"/>
    <w:rsid w:val="0090120D"/>
    <w:rsid w:val="00903195"/>
    <w:rsid w:val="00903EF3"/>
    <w:rsid w:val="00905CC6"/>
    <w:rsid w:val="00911A82"/>
    <w:rsid w:val="00912DA2"/>
    <w:rsid w:val="00913BDB"/>
    <w:rsid w:val="0091443D"/>
    <w:rsid w:val="00915E3B"/>
    <w:rsid w:val="00920049"/>
    <w:rsid w:val="009209E6"/>
    <w:rsid w:val="0092225C"/>
    <w:rsid w:val="009245A7"/>
    <w:rsid w:val="00924EAB"/>
    <w:rsid w:val="009329CB"/>
    <w:rsid w:val="00933201"/>
    <w:rsid w:val="00937C8D"/>
    <w:rsid w:val="009444FB"/>
    <w:rsid w:val="00945195"/>
    <w:rsid w:val="009451DD"/>
    <w:rsid w:val="00950EFC"/>
    <w:rsid w:val="009530C7"/>
    <w:rsid w:val="00955EEA"/>
    <w:rsid w:val="00962B93"/>
    <w:rsid w:val="009653C0"/>
    <w:rsid w:val="009654EA"/>
    <w:rsid w:val="00967A43"/>
    <w:rsid w:val="00974D7D"/>
    <w:rsid w:val="00975BE3"/>
    <w:rsid w:val="00976814"/>
    <w:rsid w:val="00976FEB"/>
    <w:rsid w:val="00980887"/>
    <w:rsid w:val="00980918"/>
    <w:rsid w:val="00983315"/>
    <w:rsid w:val="00986E20"/>
    <w:rsid w:val="009925E2"/>
    <w:rsid w:val="009927BF"/>
    <w:rsid w:val="00994FC3"/>
    <w:rsid w:val="00996108"/>
    <w:rsid w:val="009965E7"/>
    <w:rsid w:val="009A1258"/>
    <w:rsid w:val="009A1791"/>
    <w:rsid w:val="009A2033"/>
    <w:rsid w:val="009A26DA"/>
    <w:rsid w:val="009A2D26"/>
    <w:rsid w:val="009A4536"/>
    <w:rsid w:val="009A4FB3"/>
    <w:rsid w:val="009A667D"/>
    <w:rsid w:val="009B1D3E"/>
    <w:rsid w:val="009B347E"/>
    <w:rsid w:val="009B42B3"/>
    <w:rsid w:val="009B5288"/>
    <w:rsid w:val="009B5E3C"/>
    <w:rsid w:val="009B7659"/>
    <w:rsid w:val="009C0F07"/>
    <w:rsid w:val="009C1705"/>
    <w:rsid w:val="009C2A56"/>
    <w:rsid w:val="009C4C49"/>
    <w:rsid w:val="009C5A45"/>
    <w:rsid w:val="009C712F"/>
    <w:rsid w:val="009C7DCC"/>
    <w:rsid w:val="009D0552"/>
    <w:rsid w:val="009D140F"/>
    <w:rsid w:val="009D4CC9"/>
    <w:rsid w:val="009D5FEF"/>
    <w:rsid w:val="009D6A5B"/>
    <w:rsid w:val="009D7DCB"/>
    <w:rsid w:val="009E0500"/>
    <w:rsid w:val="009E2509"/>
    <w:rsid w:val="009E3CCD"/>
    <w:rsid w:val="009E4E7C"/>
    <w:rsid w:val="009E578A"/>
    <w:rsid w:val="009E57FB"/>
    <w:rsid w:val="009E652A"/>
    <w:rsid w:val="009F44AD"/>
    <w:rsid w:val="009F48F6"/>
    <w:rsid w:val="009F4D3D"/>
    <w:rsid w:val="009F5026"/>
    <w:rsid w:val="009F6FA8"/>
    <w:rsid w:val="009F7926"/>
    <w:rsid w:val="00A002BB"/>
    <w:rsid w:val="00A00F8E"/>
    <w:rsid w:val="00A01D10"/>
    <w:rsid w:val="00A022D0"/>
    <w:rsid w:val="00A0325A"/>
    <w:rsid w:val="00A04A6D"/>
    <w:rsid w:val="00A059D2"/>
    <w:rsid w:val="00A05BCD"/>
    <w:rsid w:val="00A05ED7"/>
    <w:rsid w:val="00A10935"/>
    <w:rsid w:val="00A14C03"/>
    <w:rsid w:val="00A2353B"/>
    <w:rsid w:val="00A2396B"/>
    <w:rsid w:val="00A2691F"/>
    <w:rsid w:val="00A27E3B"/>
    <w:rsid w:val="00A3132C"/>
    <w:rsid w:val="00A315D8"/>
    <w:rsid w:val="00A32337"/>
    <w:rsid w:val="00A32A14"/>
    <w:rsid w:val="00A32F8C"/>
    <w:rsid w:val="00A34FAC"/>
    <w:rsid w:val="00A367A8"/>
    <w:rsid w:val="00A3689F"/>
    <w:rsid w:val="00A37338"/>
    <w:rsid w:val="00A4480C"/>
    <w:rsid w:val="00A44EF1"/>
    <w:rsid w:val="00A45ED7"/>
    <w:rsid w:val="00A4682A"/>
    <w:rsid w:val="00A47682"/>
    <w:rsid w:val="00A506F8"/>
    <w:rsid w:val="00A530D3"/>
    <w:rsid w:val="00A55916"/>
    <w:rsid w:val="00A56024"/>
    <w:rsid w:val="00A569FF"/>
    <w:rsid w:val="00A578F2"/>
    <w:rsid w:val="00A602E6"/>
    <w:rsid w:val="00A60418"/>
    <w:rsid w:val="00A61059"/>
    <w:rsid w:val="00A670A5"/>
    <w:rsid w:val="00A67DDB"/>
    <w:rsid w:val="00A70B9A"/>
    <w:rsid w:val="00A70FDB"/>
    <w:rsid w:val="00A7243F"/>
    <w:rsid w:val="00A72923"/>
    <w:rsid w:val="00A72FE6"/>
    <w:rsid w:val="00A73228"/>
    <w:rsid w:val="00A735A0"/>
    <w:rsid w:val="00A73710"/>
    <w:rsid w:val="00A74F9E"/>
    <w:rsid w:val="00A75AF3"/>
    <w:rsid w:val="00A76CEE"/>
    <w:rsid w:val="00A777DE"/>
    <w:rsid w:val="00A77D53"/>
    <w:rsid w:val="00A81D1C"/>
    <w:rsid w:val="00A829A3"/>
    <w:rsid w:val="00A84D2C"/>
    <w:rsid w:val="00A85FF1"/>
    <w:rsid w:val="00A865F7"/>
    <w:rsid w:val="00A900BD"/>
    <w:rsid w:val="00A9068D"/>
    <w:rsid w:val="00A9200A"/>
    <w:rsid w:val="00A95633"/>
    <w:rsid w:val="00A96A03"/>
    <w:rsid w:val="00A96BDA"/>
    <w:rsid w:val="00AA0937"/>
    <w:rsid w:val="00AA0F61"/>
    <w:rsid w:val="00AA24CD"/>
    <w:rsid w:val="00AA4A22"/>
    <w:rsid w:val="00AB0143"/>
    <w:rsid w:val="00AB05FF"/>
    <w:rsid w:val="00AB24CE"/>
    <w:rsid w:val="00AB26D1"/>
    <w:rsid w:val="00AB27D4"/>
    <w:rsid w:val="00AB3578"/>
    <w:rsid w:val="00AB61AF"/>
    <w:rsid w:val="00AB7198"/>
    <w:rsid w:val="00AB729C"/>
    <w:rsid w:val="00AC4291"/>
    <w:rsid w:val="00AC43E7"/>
    <w:rsid w:val="00AC5FDB"/>
    <w:rsid w:val="00AD025E"/>
    <w:rsid w:val="00AD054B"/>
    <w:rsid w:val="00AD06AC"/>
    <w:rsid w:val="00AD20FF"/>
    <w:rsid w:val="00AD2E9E"/>
    <w:rsid w:val="00AD4946"/>
    <w:rsid w:val="00AD4DD1"/>
    <w:rsid w:val="00AD5592"/>
    <w:rsid w:val="00AD7881"/>
    <w:rsid w:val="00AD7FC8"/>
    <w:rsid w:val="00AE0C61"/>
    <w:rsid w:val="00AE17EE"/>
    <w:rsid w:val="00AE55ED"/>
    <w:rsid w:val="00AE6E5B"/>
    <w:rsid w:val="00AF0351"/>
    <w:rsid w:val="00AF044E"/>
    <w:rsid w:val="00AF75A4"/>
    <w:rsid w:val="00B01F65"/>
    <w:rsid w:val="00B02120"/>
    <w:rsid w:val="00B12434"/>
    <w:rsid w:val="00B1516C"/>
    <w:rsid w:val="00B1538A"/>
    <w:rsid w:val="00B15F21"/>
    <w:rsid w:val="00B16303"/>
    <w:rsid w:val="00B173A9"/>
    <w:rsid w:val="00B211F6"/>
    <w:rsid w:val="00B21A51"/>
    <w:rsid w:val="00B22C46"/>
    <w:rsid w:val="00B23521"/>
    <w:rsid w:val="00B262B3"/>
    <w:rsid w:val="00B27269"/>
    <w:rsid w:val="00B3082D"/>
    <w:rsid w:val="00B339DA"/>
    <w:rsid w:val="00B33E44"/>
    <w:rsid w:val="00B344B0"/>
    <w:rsid w:val="00B35901"/>
    <w:rsid w:val="00B374A9"/>
    <w:rsid w:val="00B43172"/>
    <w:rsid w:val="00B43429"/>
    <w:rsid w:val="00B4396D"/>
    <w:rsid w:val="00B43BF2"/>
    <w:rsid w:val="00B43DB9"/>
    <w:rsid w:val="00B453CF"/>
    <w:rsid w:val="00B47293"/>
    <w:rsid w:val="00B50396"/>
    <w:rsid w:val="00B506B0"/>
    <w:rsid w:val="00B506B5"/>
    <w:rsid w:val="00B50862"/>
    <w:rsid w:val="00B514B5"/>
    <w:rsid w:val="00B51517"/>
    <w:rsid w:val="00B5370C"/>
    <w:rsid w:val="00B55941"/>
    <w:rsid w:val="00B56A15"/>
    <w:rsid w:val="00B57919"/>
    <w:rsid w:val="00B606E4"/>
    <w:rsid w:val="00B60918"/>
    <w:rsid w:val="00B60B1F"/>
    <w:rsid w:val="00B60D6A"/>
    <w:rsid w:val="00B63C99"/>
    <w:rsid w:val="00B65EF7"/>
    <w:rsid w:val="00B66CFD"/>
    <w:rsid w:val="00B75102"/>
    <w:rsid w:val="00B77102"/>
    <w:rsid w:val="00B817FF"/>
    <w:rsid w:val="00B81C6B"/>
    <w:rsid w:val="00B8220D"/>
    <w:rsid w:val="00B848FE"/>
    <w:rsid w:val="00B85EBE"/>
    <w:rsid w:val="00B862B2"/>
    <w:rsid w:val="00B911AB"/>
    <w:rsid w:val="00B927FD"/>
    <w:rsid w:val="00B93744"/>
    <w:rsid w:val="00B93800"/>
    <w:rsid w:val="00B957E6"/>
    <w:rsid w:val="00B97D66"/>
    <w:rsid w:val="00BA0712"/>
    <w:rsid w:val="00BA225C"/>
    <w:rsid w:val="00BA32B5"/>
    <w:rsid w:val="00BA4248"/>
    <w:rsid w:val="00BA4C04"/>
    <w:rsid w:val="00BA55BC"/>
    <w:rsid w:val="00BB0F4F"/>
    <w:rsid w:val="00BB10F6"/>
    <w:rsid w:val="00BB3D27"/>
    <w:rsid w:val="00BB4248"/>
    <w:rsid w:val="00BC0D25"/>
    <w:rsid w:val="00BC1273"/>
    <w:rsid w:val="00BC15C5"/>
    <w:rsid w:val="00BC1F8C"/>
    <w:rsid w:val="00BC4326"/>
    <w:rsid w:val="00BC5044"/>
    <w:rsid w:val="00BC7DCA"/>
    <w:rsid w:val="00BD087F"/>
    <w:rsid w:val="00BD2B67"/>
    <w:rsid w:val="00BD2EF3"/>
    <w:rsid w:val="00BD306F"/>
    <w:rsid w:val="00BD4705"/>
    <w:rsid w:val="00BD4920"/>
    <w:rsid w:val="00BD4AEB"/>
    <w:rsid w:val="00BD6636"/>
    <w:rsid w:val="00BD6B76"/>
    <w:rsid w:val="00BD7B49"/>
    <w:rsid w:val="00BE1B69"/>
    <w:rsid w:val="00BE3292"/>
    <w:rsid w:val="00BE4042"/>
    <w:rsid w:val="00BE7483"/>
    <w:rsid w:val="00BE74F4"/>
    <w:rsid w:val="00BE7C5D"/>
    <w:rsid w:val="00BE7DCD"/>
    <w:rsid w:val="00BF08E3"/>
    <w:rsid w:val="00BF0AE4"/>
    <w:rsid w:val="00BF501F"/>
    <w:rsid w:val="00BF59F5"/>
    <w:rsid w:val="00BF5B94"/>
    <w:rsid w:val="00BF79BA"/>
    <w:rsid w:val="00C00ADF"/>
    <w:rsid w:val="00C02731"/>
    <w:rsid w:val="00C02DF0"/>
    <w:rsid w:val="00C04ED1"/>
    <w:rsid w:val="00C06CFC"/>
    <w:rsid w:val="00C06FA2"/>
    <w:rsid w:val="00C07DC3"/>
    <w:rsid w:val="00C105C0"/>
    <w:rsid w:val="00C10FF6"/>
    <w:rsid w:val="00C12686"/>
    <w:rsid w:val="00C16AEA"/>
    <w:rsid w:val="00C20287"/>
    <w:rsid w:val="00C21E9F"/>
    <w:rsid w:val="00C235C6"/>
    <w:rsid w:val="00C23C80"/>
    <w:rsid w:val="00C23E9E"/>
    <w:rsid w:val="00C23FE3"/>
    <w:rsid w:val="00C2432B"/>
    <w:rsid w:val="00C26074"/>
    <w:rsid w:val="00C261D2"/>
    <w:rsid w:val="00C27390"/>
    <w:rsid w:val="00C30336"/>
    <w:rsid w:val="00C31537"/>
    <w:rsid w:val="00C32FEC"/>
    <w:rsid w:val="00C341A5"/>
    <w:rsid w:val="00C349F9"/>
    <w:rsid w:val="00C400D1"/>
    <w:rsid w:val="00C43033"/>
    <w:rsid w:val="00C4464A"/>
    <w:rsid w:val="00C45692"/>
    <w:rsid w:val="00C45B1C"/>
    <w:rsid w:val="00C46FF5"/>
    <w:rsid w:val="00C50C73"/>
    <w:rsid w:val="00C529CD"/>
    <w:rsid w:val="00C54028"/>
    <w:rsid w:val="00C54A69"/>
    <w:rsid w:val="00C56139"/>
    <w:rsid w:val="00C566E5"/>
    <w:rsid w:val="00C5720B"/>
    <w:rsid w:val="00C57B80"/>
    <w:rsid w:val="00C62CFE"/>
    <w:rsid w:val="00C62E7B"/>
    <w:rsid w:val="00C62EB6"/>
    <w:rsid w:val="00C673C7"/>
    <w:rsid w:val="00C702B7"/>
    <w:rsid w:val="00C71D3F"/>
    <w:rsid w:val="00C71D75"/>
    <w:rsid w:val="00C74D62"/>
    <w:rsid w:val="00C74FF0"/>
    <w:rsid w:val="00C75154"/>
    <w:rsid w:val="00C7680A"/>
    <w:rsid w:val="00C816BB"/>
    <w:rsid w:val="00C822B0"/>
    <w:rsid w:val="00C82624"/>
    <w:rsid w:val="00C82A5A"/>
    <w:rsid w:val="00C833E7"/>
    <w:rsid w:val="00C835B9"/>
    <w:rsid w:val="00C858BB"/>
    <w:rsid w:val="00C87809"/>
    <w:rsid w:val="00C879BB"/>
    <w:rsid w:val="00C928D1"/>
    <w:rsid w:val="00C941A4"/>
    <w:rsid w:val="00C9553A"/>
    <w:rsid w:val="00C955BC"/>
    <w:rsid w:val="00C97456"/>
    <w:rsid w:val="00CA1AB4"/>
    <w:rsid w:val="00CA3CF7"/>
    <w:rsid w:val="00CA5DB0"/>
    <w:rsid w:val="00CA75C3"/>
    <w:rsid w:val="00CB25AC"/>
    <w:rsid w:val="00CB559B"/>
    <w:rsid w:val="00CB62E3"/>
    <w:rsid w:val="00CB7AE5"/>
    <w:rsid w:val="00CC0623"/>
    <w:rsid w:val="00CC06AB"/>
    <w:rsid w:val="00CC2A41"/>
    <w:rsid w:val="00CC40B3"/>
    <w:rsid w:val="00CC697F"/>
    <w:rsid w:val="00CD06C9"/>
    <w:rsid w:val="00CD0A55"/>
    <w:rsid w:val="00CD2398"/>
    <w:rsid w:val="00CD2CCF"/>
    <w:rsid w:val="00CD6CDA"/>
    <w:rsid w:val="00CE1DCB"/>
    <w:rsid w:val="00CE1F20"/>
    <w:rsid w:val="00CE2BC8"/>
    <w:rsid w:val="00CE2FE0"/>
    <w:rsid w:val="00CE33F0"/>
    <w:rsid w:val="00CE3B21"/>
    <w:rsid w:val="00CE3F50"/>
    <w:rsid w:val="00CE4974"/>
    <w:rsid w:val="00CE5AE0"/>
    <w:rsid w:val="00CE639F"/>
    <w:rsid w:val="00CE6549"/>
    <w:rsid w:val="00CE6A59"/>
    <w:rsid w:val="00CE732A"/>
    <w:rsid w:val="00CE7A66"/>
    <w:rsid w:val="00CF02FD"/>
    <w:rsid w:val="00CF1C14"/>
    <w:rsid w:val="00CF2A7C"/>
    <w:rsid w:val="00CF2A98"/>
    <w:rsid w:val="00CF456E"/>
    <w:rsid w:val="00CF477A"/>
    <w:rsid w:val="00CF525A"/>
    <w:rsid w:val="00CF52A1"/>
    <w:rsid w:val="00CF69D6"/>
    <w:rsid w:val="00D00167"/>
    <w:rsid w:val="00D004ED"/>
    <w:rsid w:val="00D02676"/>
    <w:rsid w:val="00D02CA0"/>
    <w:rsid w:val="00D03BB3"/>
    <w:rsid w:val="00D1056D"/>
    <w:rsid w:val="00D110F5"/>
    <w:rsid w:val="00D1143F"/>
    <w:rsid w:val="00D13457"/>
    <w:rsid w:val="00D15821"/>
    <w:rsid w:val="00D17B7D"/>
    <w:rsid w:val="00D2066E"/>
    <w:rsid w:val="00D20E4F"/>
    <w:rsid w:val="00D21B40"/>
    <w:rsid w:val="00D2281D"/>
    <w:rsid w:val="00D23923"/>
    <w:rsid w:val="00D24D4F"/>
    <w:rsid w:val="00D273F8"/>
    <w:rsid w:val="00D306D8"/>
    <w:rsid w:val="00D30A17"/>
    <w:rsid w:val="00D31727"/>
    <w:rsid w:val="00D328F5"/>
    <w:rsid w:val="00D32944"/>
    <w:rsid w:val="00D332D0"/>
    <w:rsid w:val="00D337E0"/>
    <w:rsid w:val="00D35473"/>
    <w:rsid w:val="00D35EBF"/>
    <w:rsid w:val="00D37459"/>
    <w:rsid w:val="00D37E32"/>
    <w:rsid w:val="00D41B1B"/>
    <w:rsid w:val="00D433AC"/>
    <w:rsid w:val="00D44F76"/>
    <w:rsid w:val="00D45D73"/>
    <w:rsid w:val="00D47100"/>
    <w:rsid w:val="00D51A42"/>
    <w:rsid w:val="00D52D04"/>
    <w:rsid w:val="00D56C14"/>
    <w:rsid w:val="00D6166A"/>
    <w:rsid w:val="00D63238"/>
    <w:rsid w:val="00D6498F"/>
    <w:rsid w:val="00D66B2F"/>
    <w:rsid w:val="00D66EED"/>
    <w:rsid w:val="00D6718F"/>
    <w:rsid w:val="00D67EDD"/>
    <w:rsid w:val="00D7232A"/>
    <w:rsid w:val="00D72A5D"/>
    <w:rsid w:val="00D73AA2"/>
    <w:rsid w:val="00D7491B"/>
    <w:rsid w:val="00D75039"/>
    <w:rsid w:val="00D76C6C"/>
    <w:rsid w:val="00D76E12"/>
    <w:rsid w:val="00D77BDE"/>
    <w:rsid w:val="00D80847"/>
    <w:rsid w:val="00D81DC6"/>
    <w:rsid w:val="00D856FA"/>
    <w:rsid w:val="00D8745F"/>
    <w:rsid w:val="00D87750"/>
    <w:rsid w:val="00D91FC6"/>
    <w:rsid w:val="00D921EC"/>
    <w:rsid w:val="00D93763"/>
    <w:rsid w:val="00D93851"/>
    <w:rsid w:val="00D9437B"/>
    <w:rsid w:val="00D94730"/>
    <w:rsid w:val="00D95861"/>
    <w:rsid w:val="00D97870"/>
    <w:rsid w:val="00DA1AF9"/>
    <w:rsid w:val="00DA3A73"/>
    <w:rsid w:val="00DA5A13"/>
    <w:rsid w:val="00DA7158"/>
    <w:rsid w:val="00DA76AD"/>
    <w:rsid w:val="00DB753F"/>
    <w:rsid w:val="00DC0847"/>
    <w:rsid w:val="00DC389B"/>
    <w:rsid w:val="00DC48CC"/>
    <w:rsid w:val="00DC57FD"/>
    <w:rsid w:val="00DC5ADB"/>
    <w:rsid w:val="00DC6D38"/>
    <w:rsid w:val="00DC7045"/>
    <w:rsid w:val="00DC74FD"/>
    <w:rsid w:val="00DD09E3"/>
    <w:rsid w:val="00DD1387"/>
    <w:rsid w:val="00DD5C38"/>
    <w:rsid w:val="00DD649E"/>
    <w:rsid w:val="00DE02E0"/>
    <w:rsid w:val="00DE211D"/>
    <w:rsid w:val="00DE5165"/>
    <w:rsid w:val="00DE61F1"/>
    <w:rsid w:val="00DE6FD0"/>
    <w:rsid w:val="00DF068E"/>
    <w:rsid w:val="00DF24D0"/>
    <w:rsid w:val="00DF52F3"/>
    <w:rsid w:val="00DF56B5"/>
    <w:rsid w:val="00DF6E78"/>
    <w:rsid w:val="00DF7120"/>
    <w:rsid w:val="00DF71D8"/>
    <w:rsid w:val="00E02F0B"/>
    <w:rsid w:val="00E035A3"/>
    <w:rsid w:val="00E03AA8"/>
    <w:rsid w:val="00E04F22"/>
    <w:rsid w:val="00E05858"/>
    <w:rsid w:val="00E05C15"/>
    <w:rsid w:val="00E0630A"/>
    <w:rsid w:val="00E069CE"/>
    <w:rsid w:val="00E07683"/>
    <w:rsid w:val="00E1189B"/>
    <w:rsid w:val="00E12289"/>
    <w:rsid w:val="00E1281B"/>
    <w:rsid w:val="00E167A0"/>
    <w:rsid w:val="00E20D84"/>
    <w:rsid w:val="00E22930"/>
    <w:rsid w:val="00E24610"/>
    <w:rsid w:val="00E2508C"/>
    <w:rsid w:val="00E3018E"/>
    <w:rsid w:val="00E332DF"/>
    <w:rsid w:val="00E3383D"/>
    <w:rsid w:val="00E368AC"/>
    <w:rsid w:val="00E36CE3"/>
    <w:rsid w:val="00E36D66"/>
    <w:rsid w:val="00E374A5"/>
    <w:rsid w:val="00E37BA9"/>
    <w:rsid w:val="00E40573"/>
    <w:rsid w:val="00E40AE6"/>
    <w:rsid w:val="00E4137A"/>
    <w:rsid w:val="00E43B8B"/>
    <w:rsid w:val="00E43EDE"/>
    <w:rsid w:val="00E4619F"/>
    <w:rsid w:val="00E461BC"/>
    <w:rsid w:val="00E465F1"/>
    <w:rsid w:val="00E5037B"/>
    <w:rsid w:val="00E5352A"/>
    <w:rsid w:val="00E53661"/>
    <w:rsid w:val="00E56EA8"/>
    <w:rsid w:val="00E60E2C"/>
    <w:rsid w:val="00E60ECB"/>
    <w:rsid w:val="00E61570"/>
    <w:rsid w:val="00E61777"/>
    <w:rsid w:val="00E63091"/>
    <w:rsid w:val="00E632CA"/>
    <w:rsid w:val="00E6373B"/>
    <w:rsid w:val="00E6610C"/>
    <w:rsid w:val="00E66399"/>
    <w:rsid w:val="00E66E10"/>
    <w:rsid w:val="00E7359F"/>
    <w:rsid w:val="00E75699"/>
    <w:rsid w:val="00E756E2"/>
    <w:rsid w:val="00E76DCD"/>
    <w:rsid w:val="00E7737F"/>
    <w:rsid w:val="00E807ED"/>
    <w:rsid w:val="00E80AD8"/>
    <w:rsid w:val="00E83F4E"/>
    <w:rsid w:val="00E86A3C"/>
    <w:rsid w:val="00E87024"/>
    <w:rsid w:val="00E8745C"/>
    <w:rsid w:val="00E90375"/>
    <w:rsid w:val="00E915BD"/>
    <w:rsid w:val="00E92C6F"/>
    <w:rsid w:val="00E93D7E"/>
    <w:rsid w:val="00E951CC"/>
    <w:rsid w:val="00EA0426"/>
    <w:rsid w:val="00EA10C5"/>
    <w:rsid w:val="00EA1793"/>
    <w:rsid w:val="00EA1B54"/>
    <w:rsid w:val="00EA2A06"/>
    <w:rsid w:val="00EA349A"/>
    <w:rsid w:val="00EA5428"/>
    <w:rsid w:val="00EA62C7"/>
    <w:rsid w:val="00EA6AFE"/>
    <w:rsid w:val="00EB3316"/>
    <w:rsid w:val="00EB33B4"/>
    <w:rsid w:val="00EB3919"/>
    <w:rsid w:val="00EB4B5C"/>
    <w:rsid w:val="00EB4E08"/>
    <w:rsid w:val="00EB6FDC"/>
    <w:rsid w:val="00EB7C0D"/>
    <w:rsid w:val="00EC25A9"/>
    <w:rsid w:val="00EC4E33"/>
    <w:rsid w:val="00EC510D"/>
    <w:rsid w:val="00EC78D1"/>
    <w:rsid w:val="00ED47D5"/>
    <w:rsid w:val="00ED5779"/>
    <w:rsid w:val="00ED7324"/>
    <w:rsid w:val="00ED736D"/>
    <w:rsid w:val="00ED78B5"/>
    <w:rsid w:val="00ED7BD4"/>
    <w:rsid w:val="00ED7ECE"/>
    <w:rsid w:val="00EE0444"/>
    <w:rsid w:val="00EE0FD2"/>
    <w:rsid w:val="00EE15AB"/>
    <w:rsid w:val="00EE1805"/>
    <w:rsid w:val="00EE24F4"/>
    <w:rsid w:val="00EE2C7D"/>
    <w:rsid w:val="00EE2E93"/>
    <w:rsid w:val="00EE51B5"/>
    <w:rsid w:val="00EE5379"/>
    <w:rsid w:val="00EE673B"/>
    <w:rsid w:val="00EF554C"/>
    <w:rsid w:val="00EF583E"/>
    <w:rsid w:val="00EF5B7C"/>
    <w:rsid w:val="00EF618D"/>
    <w:rsid w:val="00EF6948"/>
    <w:rsid w:val="00EF6C43"/>
    <w:rsid w:val="00EF7705"/>
    <w:rsid w:val="00F01947"/>
    <w:rsid w:val="00F020AF"/>
    <w:rsid w:val="00F0309C"/>
    <w:rsid w:val="00F045C7"/>
    <w:rsid w:val="00F0461F"/>
    <w:rsid w:val="00F05C2F"/>
    <w:rsid w:val="00F06ECB"/>
    <w:rsid w:val="00F105D2"/>
    <w:rsid w:val="00F10DD1"/>
    <w:rsid w:val="00F12D40"/>
    <w:rsid w:val="00F1538F"/>
    <w:rsid w:val="00F20BBC"/>
    <w:rsid w:val="00F2274E"/>
    <w:rsid w:val="00F238BD"/>
    <w:rsid w:val="00F254FD"/>
    <w:rsid w:val="00F26D7C"/>
    <w:rsid w:val="00F30FB6"/>
    <w:rsid w:val="00F31738"/>
    <w:rsid w:val="00F37CBF"/>
    <w:rsid w:val="00F408C0"/>
    <w:rsid w:val="00F40B0D"/>
    <w:rsid w:val="00F41A6B"/>
    <w:rsid w:val="00F41DA3"/>
    <w:rsid w:val="00F43717"/>
    <w:rsid w:val="00F44E89"/>
    <w:rsid w:val="00F45661"/>
    <w:rsid w:val="00F47E35"/>
    <w:rsid w:val="00F50E33"/>
    <w:rsid w:val="00F52C89"/>
    <w:rsid w:val="00F56A49"/>
    <w:rsid w:val="00F576C7"/>
    <w:rsid w:val="00F6188F"/>
    <w:rsid w:val="00F6290B"/>
    <w:rsid w:val="00F64616"/>
    <w:rsid w:val="00F673AA"/>
    <w:rsid w:val="00F7151B"/>
    <w:rsid w:val="00F716E8"/>
    <w:rsid w:val="00F720F7"/>
    <w:rsid w:val="00F73127"/>
    <w:rsid w:val="00F73786"/>
    <w:rsid w:val="00F757A8"/>
    <w:rsid w:val="00F75EA7"/>
    <w:rsid w:val="00F763DC"/>
    <w:rsid w:val="00F77A47"/>
    <w:rsid w:val="00F77CD4"/>
    <w:rsid w:val="00F8029F"/>
    <w:rsid w:val="00F80688"/>
    <w:rsid w:val="00F81812"/>
    <w:rsid w:val="00F84231"/>
    <w:rsid w:val="00F842F1"/>
    <w:rsid w:val="00F847E6"/>
    <w:rsid w:val="00F87DCC"/>
    <w:rsid w:val="00F918D3"/>
    <w:rsid w:val="00F91C29"/>
    <w:rsid w:val="00F92176"/>
    <w:rsid w:val="00F921AE"/>
    <w:rsid w:val="00F93742"/>
    <w:rsid w:val="00F93A92"/>
    <w:rsid w:val="00F94C51"/>
    <w:rsid w:val="00F956EE"/>
    <w:rsid w:val="00F97564"/>
    <w:rsid w:val="00FA0685"/>
    <w:rsid w:val="00FA13E3"/>
    <w:rsid w:val="00FA3231"/>
    <w:rsid w:val="00FA4401"/>
    <w:rsid w:val="00FA68EB"/>
    <w:rsid w:val="00FA70ED"/>
    <w:rsid w:val="00FA732E"/>
    <w:rsid w:val="00FA7CEE"/>
    <w:rsid w:val="00FB1141"/>
    <w:rsid w:val="00FB1CDC"/>
    <w:rsid w:val="00FB226D"/>
    <w:rsid w:val="00FB52F3"/>
    <w:rsid w:val="00FB5A0E"/>
    <w:rsid w:val="00FB69F5"/>
    <w:rsid w:val="00FB71D7"/>
    <w:rsid w:val="00FC17ED"/>
    <w:rsid w:val="00FC1809"/>
    <w:rsid w:val="00FC1C18"/>
    <w:rsid w:val="00FC369B"/>
    <w:rsid w:val="00FC47A8"/>
    <w:rsid w:val="00FC5327"/>
    <w:rsid w:val="00FC56B5"/>
    <w:rsid w:val="00FC6A2D"/>
    <w:rsid w:val="00FC7A5C"/>
    <w:rsid w:val="00FD076C"/>
    <w:rsid w:val="00FD120F"/>
    <w:rsid w:val="00FD3077"/>
    <w:rsid w:val="00FD326A"/>
    <w:rsid w:val="00FD5B80"/>
    <w:rsid w:val="00FE001B"/>
    <w:rsid w:val="00FE02DD"/>
    <w:rsid w:val="00FE1E27"/>
    <w:rsid w:val="00FE3840"/>
    <w:rsid w:val="00FE4D3E"/>
    <w:rsid w:val="00FE5415"/>
    <w:rsid w:val="00FF01AA"/>
    <w:rsid w:val="00FF1C9C"/>
    <w:rsid w:val="00FF244D"/>
    <w:rsid w:val="00FF2B4F"/>
    <w:rsid w:val="00FF6B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BE6E1"/>
  <w15:chartTrackingRefBased/>
  <w15:docId w15:val="{9E2A42C4-0AD1-442E-8FDD-78AFB5099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6599F"/>
    <w:pPr>
      <w:spacing w:after="0" w:line="240" w:lineRule="auto"/>
    </w:pPr>
    <w:rPr>
      <w:rFonts w:ascii="Calibri" w:hAnsi="Calibri" w:cs="Calibri"/>
      <w:lang w:eastAsia="cs-CZ"/>
    </w:rPr>
  </w:style>
  <w:style w:type="paragraph" w:styleId="Nadpis1">
    <w:name w:val="heading 1"/>
    <w:basedOn w:val="Normln"/>
    <w:next w:val="Normln"/>
    <w:link w:val="Nadpis1Char"/>
    <w:uiPriority w:val="9"/>
    <w:qFormat/>
    <w:rsid w:val="004E6D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E5366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00B12"/>
    <w:pPr>
      <w:tabs>
        <w:tab w:val="center" w:pos="4536"/>
        <w:tab w:val="right" w:pos="9072"/>
      </w:tabs>
    </w:pPr>
    <w:rPr>
      <w:rFonts w:asciiTheme="minorHAnsi" w:hAnsiTheme="minorHAnsi" w:cstheme="minorBidi"/>
      <w:lang w:eastAsia="en-US"/>
    </w:rPr>
  </w:style>
  <w:style w:type="character" w:customStyle="1" w:styleId="ZhlavChar">
    <w:name w:val="Záhlaví Char"/>
    <w:basedOn w:val="Standardnpsmoodstavce"/>
    <w:link w:val="Zhlav"/>
    <w:uiPriority w:val="99"/>
    <w:rsid w:val="00100B12"/>
  </w:style>
  <w:style w:type="paragraph" w:styleId="Zpat">
    <w:name w:val="footer"/>
    <w:basedOn w:val="Normln"/>
    <w:link w:val="ZpatChar"/>
    <w:uiPriority w:val="99"/>
    <w:unhideWhenUsed/>
    <w:rsid w:val="00100B12"/>
    <w:pPr>
      <w:tabs>
        <w:tab w:val="center" w:pos="4536"/>
        <w:tab w:val="right" w:pos="9072"/>
      </w:tabs>
    </w:pPr>
    <w:rPr>
      <w:rFonts w:asciiTheme="minorHAnsi" w:hAnsiTheme="minorHAnsi" w:cstheme="minorBidi"/>
      <w:lang w:eastAsia="en-US"/>
    </w:rPr>
  </w:style>
  <w:style w:type="character" w:customStyle="1" w:styleId="ZpatChar">
    <w:name w:val="Zápatí Char"/>
    <w:basedOn w:val="Standardnpsmoodstavce"/>
    <w:link w:val="Zpat"/>
    <w:uiPriority w:val="99"/>
    <w:rsid w:val="00100B12"/>
  </w:style>
  <w:style w:type="character" w:customStyle="1" w:styleId="Nadpis1Char">
    <w:name w:val="Nadpis 1 Char"/>
    <w:basedOn w:val="Standardnpsmoodstavce"/>
    <w:link w:val="Nadpis1"/>
    <w:uiPriority w:val="9"/>
    <w:rsid w:val="004E6D2E"/>
    <w:rPr>
      <w:rFonts w:asciiTheme="majorHAnsi" w:eastAsiaTheme="majorEastAsia" w:hAnsiTheme="majorHAnsi" w:cstheme="majorBidi"/>
      <w:color w:val="2F5496" w:themeColor="accent1" w:themeShade="BF"/>
      <w:sz w:val="32"/>
      <w:szCs w:val="32"/>
      <w:lang w:eastAsia="cs-CZ"/>
    </w:rPr>
  </w:style>
  <w:style w:type="paragraph" w:styleId="Odstavecseseznamem">
    <w:name w:val="List Paragraph"/>
    <w:basedOn w:val="Normln"/>
    <w:uiPriority w:val="34"/>
    <w:qFormat/>
    <w:rsid w:val="004E6D2E"/>
    <w:pPr>
      <w:ind w:left="720"/>
      <w:contextualSpacing/>
    </w:pPr>
  </w:style>
  <w:style w:type="paragraph" w:styleId="Nzev">
    <w:name w:val="Title"/>
    <w:basedOn w:val="Normln"/>
    <w:next w:val="Normln"/>
    <w:link w:val="NzevChar"/>
    <w:uiPriority w:val="10"/>
    <w:qFormat/>
    <w:rsid w:val="00BD4920"/>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D4920"/>
    <w:rPr>
      <w:rFonts w:asciiTheme="majorHAnsi" w:eastAsiaTheme="majorEastAsia" w:hAnsiTheme="majorHAnsi" w:cstheme="majorBidi"/>
      <w:spacing w:val="-10"/>
      <w:kern w:val="28"/>
      <w:sz w:val="56"/>
      <w:szCs w:val="56"/>
      <w:lang w:eastAsia="cs-CZ"/>
    </w:rPr>
  </w:style>
  <w:style w:type="character" w:styleId="Odkaznakoment">
    <w:name w:val="annotation reference"/>
    <w:basedOn w:val="Standardnpsmoodstavce"/>
    <w:uiPriority w:val="99"/>
    <w:semiHidden/>
    <w:unhideWhenUsed/>
    <w:rsid w:val="00AE0C61"/>
    <w:rPr>
      <w:sz w:val="16"/>
      <w:szCs w:val="16"/>
    </w:rPr>
  </w:style>
  <w:style w:type="paragraph" w:styleId="Textkomente">
    <w:name w:val="annotation text"/>
    <w:basedOn w:val="Normln"/>
    <w:link w:val="TextkomenteChar"/>
    <w:uiPriority w:val="99"/>
    <w:unhideWhenUsed/>
    <w:rsid w:val="00AE0C61"/>
    <w:rPr>
      <w:sz w:val="20"/>
      <w:szCs w:val="20"/>
    </w:rPr>
  </w:style>
  <w:style w:type="character" w:customStyle="1" w:styleId="TextkomenteChar">
    <w:name w:val="Text komentáře Char"/>
    <w:basedOn w:val="Standardnpsmoodstavce"/>
    <w:link w:val="Textkomente"/>
    <w:uiPriority w:val="99"/>
    <w:rsid w:val="00AE0C61"/>
    <w:rPr>
      <w:rFonts w:ascii="Calibri" w:hAnsi="Calibri" w:cs="Calibri"/>
      <w:sz w:val="20"/>
      <w:szCs w:val="20"/>
      <w:lang w:eastAsia="cs-CZ"/>
    </w:rPr>
  </w:style>
  <w:style w:type="paragraph" w:styleId="Pedmtkomente">
    <w:name w:val="annotation subject"/>
    <w:basedOn w:val="Textkomente"/>
    <w:next w:val="Textkomente"/>
    <w:link w:val="PedmtkomenteChar"/>
    <w:uiPriority w:val="99"/>
    <w:semiHidden/>
    <w:unhideWhenUsed/>
    <w:rsid w:val="00AE0C61"/>
    <w:rPr>
      <w:b/>
      <w:bCs/>
    </w:rPr>
  </w:style>
  <w:style w:type="character" w:customStyle="1" w:styleId="PedmtkomenteChar">
    <w:name w:val="Předmět komentáře Char"/>
    <w:basedOn w:val="TextkomenteChar"/>
    <w:link w:val="Pedmtkomente"/>
    <w:uiPriority w:val="99"/>
    <w:semiHidden/>
    <w:rsid w:val="00AE0C61"/>
    <w:rPr>
      <w:rFonts w:ascii="Calibri" w:hAnsi="Calibri" w:cs="Calibri"/>
      <w:b/>
      <w:bCs/>
      <w:sz w:val="20"/>
      <w:szCs w:val="20"/>
      <w:lang w:eastAsia="cs-CZ"/>
    </w:rPr>
  </w:style>
  <w:style w:type="paragraph" w:styleId="Revize">
    <w:name w:val="Revision"/>
    <w:hidden/>
    <w:uiPriority w:val="99"/>
    <w:semiHidden/>
    <w:rsid w:val="002C541E"/>
    <w:pPr>
      <w:spacing w:after="0" w:line="240" w:lineRule="auto"/>
    </w:pPr>
    <w:rPr>
      <w:rFonts w:ascii="Calibri" w:hAnsi="Calibri" w:cs="Calibri"/>
      <w:lang w:eastAsia="cs-CZ"/>
    </w:rPr>
  </w:style>
  <w:style w:type="character" w:styleId="Hypertextovodkaz">
    <w:name w:val="Hyperlink"/>
    <w:basedOn w:val="Standardnpsmoodstavce"/>
    <w:uiPriority w:val="99"/>
    <w:unhideWhenUsed/>
    <w:rsid w:val="00883BEB"/>
    <w:rPr>
      <w:color w:val="0563C1" w:themeColor="hyperlink"/>
      <w:u w:val="single"/>
    </w:rPr>
  </w:style>
  <w:style w:type="character" w:styleId="Nevyeenzmnka">
    <w:name w:val="Unresolved Mention"/>
    <w:basedOn w:val="Standardnpsmoodstavce"/>
    <w:uiPriority w:val="99"/>
    <w:semiHidden/>
    <w:unhideWhenUsed/>
    <w:rsid w:val="00883BEB"/>
    <w:rPr>
      <w:color w:val="605E5C"/>
      <w:shd w:val="clear" w:color="auto" w:fill="E1DFDD"/>
    </w:rPr>
  </w:style>
  <w:style w:type="paragraph" w:styleId="Normlnweb">
    <w:name w:val="Normal (Web)"/>
    <w:basedOn w:val="Normln"/>
    <w:uiPriority w:val="99"/>
    <w:semiHidden/>
    <w:unhideWhenUsed/>
    <w:rsid w:val="00246EC4"/>
    <w:pPr>
      <w:spacing w:before="100" w:beforeAutospacing="1" w:after="100" w:afterAutospacing="1"/>
    </w:pPr>
    <w:rPr>
      <w:rFonts w:ascii="Times New Roman" w:eastAsia="Times New Roman" w:hAnsi="Times New Roman" w:cs="Times New Roman"/>
      <w:sz w:val="24"/>
      <w:szCs w:val="24"/>
    </w:rPr>
  </w:style>
  <w:style w:type="character" w:styleId="Zdraznn">
    <w:name w:val="Emphasis"/>
    <w:basedOn w:val="Standardnpsmoodstavce"/>
    <w:uiPriority w:val="20"/>
    <w:qFormat/>
    <w:rsid w:val="00246EC4"/>
    <w:rPr>
      <w:i/>
      <w:iCs/>
    </w:rPr>
  </w:style>
  <w:style w:type="character" w:styleId="Siln">
    <w:name w:val="Strong"/>
    <w:basedOn w:val="Standardnpsmoodstavce"/>
    <w:uiPriority w:val="22"/>
    <w:qFormat/>
    <w:rsid w:val="00246EC4"/>
    <w:rPr>
      <w:b/>
      <w:bCs/>
    </w:rPr>
  </w:style>
  <w:style w:type="table" w:styleId="Mkatabulky">
    <w:name w:val="Table Grid"/>
    <w:basedOn w:val="Normlntabulka"/>
    <w:uiPriority w:val="39"/>
    <w:rsid w:val="00677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E53661"/>
    <w:rPr>
      <w:rFonts w:asciiTheme="majorHAnsi" w:eastAsiaTheme="majorEastAsia" w:hAnsiTheme="majorHAnsi" w:cstheme="majorBidi"/>
      <w:color w:val="2F5496" w:themeColor="accent1" w:themeShade="BF"/>
      <w:sz w:val="26"/>
      <w:szCs w:val="2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5236">
      <w:bodyDiv w:val="1"/>
      <w:marLeft w:val="0"/>
      <w:marRight w:val="0"/>
      <w:marTop w:val="0"/>
      <w:marBottom w:val="0"/>
      <w:divBdr>
        <w:top w:val="none" w:sz="0" w:space="0" w:color="auto"/>
        <w:left w:val="none" w:sz="0" w:space="0" w:color="auto"/>
        <w:bottom w:val="none" w:sz="0" w:space="0" w:color="auto"/>
        <w:right w:val="none" w:sz="0" w:space="0" w:color="auto"/>
      </w:divBdr>
    </w:div>
    <w:div w:id="92942808">
      <w:bodyDiv w:val="1"/>
      <w:marLeft w:val="0"/>
      <w:marRight w:val="0"/>
      <w:marTop w:val="0"/>
      <w:marBottom w:val="0"/>
      <w:divBdr>
        <w:top w:val="none" w:sz="0" w:space="0" w:color="auto"/>
        <w:left w:val="none" w:sz="0" w:space="0" w:color="auto"/>
        <w:bottom w:val="none" w:sz="0" w:space="0" w:color="auto"/>
        <w:right w:val="none" w:sz="0" w:space="0" w:color="auto"/>
      </w:divBdr>
    </w:div>
    <w:div w:id="174922024">
      <w:bodyDiv w:val="1"/>
      <w:marLeft w:val="0"/>
      <w:marRight w:val="0"/>
      <w:marTop w:val="0"/>
      <w:marBottom w:val="0"/>
      <w:divBdr>
        <w:top w:val="none" w:sz="0" w:space="0" w:color="auto"/>
        <w:left w:val="none" w:sz="0" w:space="0" w:color="auto"/>
        <w:bottom w:val="none" w:sz="0" w:space="0" w:color="auto"/>
        <w:right w:val="none" w:sz="0" w:space="0" w:color="auto"/>
      </w:divBdr>
    </w:div>
    <w:div w:id="239606796">
      <w:bodyDiv w:val="1"/>
      <w:marLeft w:val="0"/>
      <w:marRight w:val="0"/>
      <w:marTop w:val="0"/>
      <w:marBottom w:val="0"/>
      <w:divBdr>
        <w:top w:val="none" w:sz="0" w:space="0" w:color="auto"/>
        <w:left w:val="none" w:sz="0" w:space="0" w:color="auto"/>
        <w:bottom w:val="none" w:sz="0" w:space="0" w:color="auto"/>
        <w:right w:val="none" w:sz="0" w:space="0" w:color="auto"/>
      </w:divBdr>
    </w:div>
    <w:div w:id="352461910">
      <w:bodyDiv w:val="1"/>
      <w:marLeft w:val="0"/>
      <w:marRight w:val="0"/>
      <w:marTop w:val="0"/>
      <w:marBottom w:val="0"/>
      <w:divBdr>
        <w:top w:val="none" w:sz="0" w:space="0" w:color="auto"/>
        <w:left w:val="none" w:sz="0" w:space="0" w:color="auto"/>
        <w:bottom w:val="none" w:sz="0" w:space="0" w:color="auto"/>
        <w:right w:val="none" w:sz="0" w:space="0" w:color="auto"/>
      </w:divBdr>
    </w:div>
    <w:div w:id="438599553">
      <w:bodyDiv w:val="1"/>
      <w:marLeft w:val="0"/>
      <w:marRight w:val="0"/>
      <w:marTop w:val="0"/>
      <w:marBottom w:val="0"/>
      <w:divBdr>
        <w:top w:val="none" w:sz="0" w:space="0" w:color="auto"/>
        <w:left w:val="none" w:sz="0" w:space="0" w:color="auto"/>
        <w:bottom w:val="none" w:sz="0" w:space="0" w:color="auto"/>
        <w:right w:val="none" w:sz="0" w:space="0" w:color="auto"/>
      </w:divBdr>
    </w:div>
    <w:div w:id="499122478">
      <w:bodyDiv w:val="1"/>
      <w:marLeft w:val="0"/>
      <w:marRight w:val="0"/>
      <w:marTop w:val="0"/>
      <w:marBottom w:val="0"/>
      <w:divBdr>
        <w:top w:val="none" w:sz="0" w:space="0" w:color="auto"/>
        <w:left w:val="none" w:sz="0" w:space="0" w:color="auto"/>
        <w:bottom w:val="none" w:sz="0" w:space="0" w:color="auto"/>
        <w:right w:val="none" w:sz="0" w:space="0" w:color="auto"/>
      </w:divBdr>
    </w:div>
    <w:div w:id="514882198">
      <w:bodyDiv w:val="1"/>
      <w:marLeft w:val="0"/>
      <w:marRight w:val="0"/>
      <w:marTop w:val="0"/>
      <w:marBottom w:val="0"/>
      <w:divBdr>
        <w:top w:val="none" w:sz="0" w:space="0" w:color="auto"/>
        <w:left w:val="none" w:sz="0" w:space="0" w:color="auto"/>
        <w:bottom w:val="none" w:sz="0" w:space="0" w:color="auto"/>
        <w:right w:val="none" w:sz="0" w:space="0" w:color="auto"/>
      </w:divBdr>
    </w:div>
    <w:div w:id="785391103">
      <w:bodyDiv w:val="1"/>
      <w:marLeft w:val="0"/>
      <w:marRight w:val="0"/>
      <w:marTop w:val="0"/>
      <w:marBottom w:val="0"/>
      <w:divBdr>
        <w:top w:val="none" w:sz="0" w:space="0" w:color="auto"/>
        <w:left w:val="none" w:sz="0" w:space="0" w:color="auto"/>
        <w:bottom w:val="none" w:sz="0" w:space="0" w:color="auto"/>
        <w:right w:val="none" w:sz="0" w:space="0" w:color="auto"/>
      </w:divBdr>
    </w:div>
    <w:div w:id="849834632">
      <w:bodyDiv w:val="1"/>
      <w:marLeft w:val="0"/>
      <w:marRight w:val="0"/>
      <w:marTop w:val="0"/>
      <w:marBottom w:val="0"/>
      <w:divBdr>
        <w:top w:val="none" w:sz="0" w:space="0" w:color="auto"/>
        <w:left w:val="none" w:sz="0" w:space="0" w:color="auto"/>
        <w:bottom w:val="none" w:sz="0" w:space="0" w:color="auto"/>
        <w:right w:val="none" w:sz="0" w:space="0" w:color="auto"/>
      </w:divBdr>
    </w:div>
    <w:div w:id="873813822">
      <w:bodyDiv w:val="1"/>
      <w:marLeft w:val="0"/>
      <w:marRight w:val="0"/>
      <w:marTop w:val="0"/>
      <w:marBottom w:val="0"/>
      <w:divBdr>
        <w:top w:val="none" w:sz="0" w:space="0" w:color="auto"/>
        <w:left w:val="none" w:sz="0" w:space="0" w:color="auto"/>
        <w:bottom w:val="none" w:sz="0" w:space="0" w:color="auto"/>
        <w:right w:val="none" w:sz="0" w:space="0" w:color="auto"/>
      </w:divBdr>
    </w:div>
    <w:div w:id="894199482">
      <w:bodyDiv w:val="1"/>
      <w:marLeft w:val="0"/>
      <w:marRight w:val="0"/>
      <w:marTop w:val="0"/>
      <w:marBottom w:val="0"/>
      <w:divBdr>
        <w:top w:val="none" w:sz="0" w:space="0" w:color="auto"/>
        <w:left w:val="none" w:sz="0" w:space="0" w:color="auto"/>
        <w:bottom w:val="none" w:sz="0" w:space="0" w:color="auto"/>
        <w:right w:val="none" w:sz="0" w:space="0" w:color="auto"/>
      </w:divBdr>
    </w:div>
    <w:div w:id="949778189">
      <w:bodyDiv w:val="1"/>
      <w:marLeft w:val="0"/>
      <w:marRight w:val="0"/>
      <w:marTop w:val="0"/>
      <w:marBottom w:val="0"/>
      <w:divBdr>
        <w:top w:val="none" w:sz="0" w:space="0" w:color="auto"/>
        <w:left w:val="none" w:sz="0" w:space="0" w:color="auto"/>
        <w:bottom w:val="none" w:sz="0" w:space="0" w:color="auto"/>
        <w:right w:val="none" w:sz="0" w:space="0" w:color="auto"/>
      </w:divBdr>
    </w:div>
    <w:div w:id="1007094959">
      <w:bodyDiv w:val="1"/>
      <w:marLeft w:val="0"/>
      <w:marRight w:val="0"/>
      <w:marTop w:val="0"/>
      <w:marBottom w:val="0"/>
      <w:divBdr>
        <w:top w:val="none" w:sz="0" w:space="0" w:color="auto"/>
        <w:left w:val="none" w:sz="0" w:space="0" w:color="auto"/>
        <w:bottom w:val="none" w:sz="0" w:space="0" w:color="auto"/>
        <w:right w:val="none" w:sz="0" w:space="0" w:color="auto"/>
      </w:divBdr>
    </w:div>
    <w:div w:id="1081490876">
      <w:bodyDiv w:val="1"/>
      <w:marLeft w:val="0"/>
      <w:marRight w:val="0"/>
      <w:marTop w:val="0"/>
      <w:marBottom w:val="0"/>
      <w:divBdr>
        <w:top w:val="none" w:sz="0" w:space="0" w:color="auto"/>
        <w:left w:val="none" w:sz="0" w:space="0" w:color="auto"/>
        <w:bottom w:val="none" w:sz="0" w:space="0" w:color="auto"/>
        <w:right w:val="none" w:sz="0" w:space="0" w:color="auto"/>
      </w:divBdr>
    </w:div>
    <w:div w:id="1376740168">
      <w:bodyDiv w:val="1"/>
      <w:marLeft w:val="0"/>
      <w:marRight w:val="0"/>
      <w:marTop w:val="0"/>
      <w:marBottom w:val="0"/>
      <w:divBdr>
        <w:top w:val="none" w:sz="0" w:space="0" w:color="auto"/>
        <w:left w:val="none" w:sz="0" w:space="0" w:color="auto"/>
        <w:bottom w:val="none" w:sz="0" w:space="0" w:color="auto"/>
        <w:right w:val="none" w:sz="0" w:space="0" w:color="auto"/>
      </w:divBdr>
    </w:div>
    <w:div w:id="1515653218">
      <w:bodyDiv w:val="1"/>
      <w:marLeft w:val="0"/>
      <w:marRight w:val="0"/>
      <w:marTop w:val="0"/>
      <w:marBottom w:val="0"/>
      <w:divBdr>
        <w:top w:val="none" w:sz="0" w:space="0" w:color="auto"/>
        <w:left w:val="none" w:sz="0" w:space="0" w:color="auto"/>
        <w:bottom w:val="none" w:sz="0" w:space="0" w:color="auto"/>
        <w:right w:val="none" w:sz="0" w:space="0" w:color="auto"/>
      </w:divBdr>
    </w:div>
    <w:div w:id="1711303614">
      <w:bodyDiv w:val="1"/>
      <w:marLeft w:val="0"/>
      <w:marRight w:val="0"/>
      <w:marTop w:val="0"/>
      <w:marBottom w:val="0"/>
      <w:divBdr>
        <w:top w:val="none" w:sz="0" w:space="0" w:color="auto"/>
        <w:left w:val="none" w:sz="0" w:space="0" w:color="auto"/>
        <w:bottom w:val="none" w:sz="0" w:space="0" w:color="auto"/>
        <w:right w:val="none" w:sz="0" w:space="0" w:color="auto"/>
      </w:divBdr>
    </w:div>
    <w:div w:id="1721317452">
      <w:bodyDiv w:val="1"/>
      <w:marLeft w:val="0"/>
      <w:marRight w:val="0"/>
      <w:marTop w:val="0"/>
      <w:marBottom w:val="0"/>
      <w:divBdr>
        <w:top w:val="none" w:sz="0" w:space="0" w:color="auto"/>
        <w:left w:val="none" w:sz="0" w:space="0" w:color="auto"/>
        <w:bottom w:val="none" w:sz="0" w:space="0" w:color="auto"/>
        <w:right w:val="none" w:sz="0" w:space="0" w:color="auto"/>
      </w:divBdr>
    </w:div>
    <w:div w:id="1742752372">
      <w:bodyDiv w:val="1"/>
      <w:marLeft w:val="0"/>
      <w:marRight w:val="0"/>
      <w:marTop w:val="0"/>
      <w:marBottom w:val="0"/>
      <w:divBdr>
        <w:top w:val="none" w:sz="0" w:space="0" w:color="auto"/>
        <w:left w:val="none" w:sz="0" w:space="0" w:color="auto"/>
        <w:bottom w:val="none" w:sz="0" w:space="0" w:color="auto"/>
        <w:right w:val="none" w:sz="0" w:space="0" w:color="auto"/>
      </w:divBdr>
    </w:div>
    <w:div w:id="1745175596">
      <w:bodyDiv w:val="1"/>
      <w:marLeft w:val="0"/>
      <w:marRight w:val="0"/>
      <w:marTop w:val="0"/>
      <w:marBottom w:val="0"/>
      <w:divBdr>
        <w:top w:val="none" w:sz="0" w:space="0" w:color="auto"/>
        <w:left w:val="none" w:sz="0" w:space="0" w:color="auto"/>
        <w:bottom w:val="none" w:sz="0" w:space="0" w:color="auto"/>
        <w:right w:val="none" w:sz="0" w:space="0" w:color="auto"/>
      </w:divBdr>
    </w:div>
    <w:div w:id="203989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defRPr sz="1800" b="1" strike="noStrike" spc="-1">
                <a:solidFill>
                  <a:srgbClr val="000000"/>
                </a:solidFill>
                <a:latin typeface="Calibri"/>
              </a:defRPr>
            </a:pPr>
            <a:r>
              <a:rPr lang="cs-CZ" sz="1000" b="1" strike="noStrike" spc="-1">
                <a:solidFill>
                  <a:srgbClr val="000000"/>
                </a:solidFill>
                <a:latin typeface="Calibri"/>
              </a:rPr>
              <a:t>CZ CAL-2027 — Prognóza vývoje ve třech scénářích</a:t>
            </a:r>
          </a:p>
        </c:rich>
      </c:tx>
      <c:overlay val="0"/>
      <c:spPr>
        <a:noFill/>
        <a:ln w="0">
          <a:noFill/>
        </a:ln>
      </c:spPr>
    </c:title>
    <c:autoTitleDeleted val="0"/>
    <c:plotArea>
      <c:layout/>
      <c:lineChart>
        <c:grouping val="standard"/>
        <c:varyColors val="0"/>
        <c:ser>
          <c:idx val="0"/>
          <c:order val="0"/>
          <c:tx>
            <c:v>Pesimistický</c:v>
          </c:tx>
          <c:spPr>
            <a:ln w="21960">
              <a:solidFill>
                <a:srgbClr val="C00000"/>
              </a:solidFill>
              <a:round/>
            </a:ln>
          </c:spPr>
          <c:marker>
            <c:symbol val="none"/>
          </c:marker>
          <c:dLbls>
            <c:spPr>
              <a:solidFill>
                <a:schemeClr val="accent2">
                  <a:lumMod val="20000"/>
                  <a:lumOff val="80000"/>
                </a:schemeClr>
              </a:solidFill>
              <a:ln>
                <a:noFill/>
              </a:ln>
              <a:effectLst/>
            </c:spPr>
            <c:txPr>
              <a:bodyPr wrap="none"/>
              <a:lstStyle/>
              <a:p>
                <a:pPr>
                  <a:defRPr sz="900" b="0" strike="noStrike" spc="-1">
                    <a:solidFill>
                      <a:schemeClr val="tx1"/>
                    </a:solidFill>
                    <a:latin typeface="Aptos Narrow" panose="020B0004020202020204" pitchFamily="34" charset="0"/>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Vývoj'!$B$5:$B$16</c:f>
              <c:numCache>
                <c:formatCode>#,##0.0</c:formatCode>
                <c:ptCount val="12"/>
                <c:pt idx="0">
                  <c:v>99.05</c:v>
                </c:pt>
                <c:pt idx="1">
                  <c:v>100</c:v>
                </c:pt>
                <c:pt idx="2">
                  <c:v>105</c:v>
                </c:pt>
                <c:pt idx="3">
                  <c:v>112</c:v>
                </c:pt>
                <c:pt idx="4">
                  <c:v>120</c:v>
                </c:pt>
                <c:pt idx="5">
                  <c:v>127</c:v>
                </c:pt>
                <c:pt idx="6">
                  <c:v>130</c:v>
                </c:pt>
                <c:pt idx="7">
                  <c:v>132</c:v>
                </c:pt>
                <c:pt idx="8">
                  <c:v>134</c:v>
                </c:pt>
                <c:pt idx="9">
                  <c:v>136</c:v>
                </c:pt>
                <c:pt idx="10">
                  <c:v>138</c:v>
                </c:pt>
                <c:pt idx="11">
                  <c:v>140</c:v>
                </c:pt>
              </c:numCache>
            </c:numRef>
          </c:val>
          <c:smooth val="1"/>
          <c:extLst>
            <c:ext xmlns:c16="http://schemas.microsoft.com/office/drawing/2014/chart" uri="{C3380CC4-5D6E-409C-BE32-E72D297353CC}">
              <c16:uniqueId val="{00000000-0D8B-4F14-9CCB-071E2245C85F}"/>
            </c:ext>
          </c:extLst>
        </c:ser>
        <c:ser>
          <c:idx val="1"/>
          <c:order val="1"/>
          <c:tx>
            <c:v>Základní</c:v>
          </c:tx>
          <c:spPr>
            <a:ln w="21960">
              <a:solidFill>
                <a:srgbClr val="2E75B6"/>
              </a:solidFill>
              <a:round/>
            </a:ln>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1-0D8B-4F14-9CCB-071E2245C85F}"/>
                </c:ext>
              </c:extLst>
            </c:dLbl>
            <c:dLbl>
              <c:idx val="2"/>
              <c:layout>
                <c:manualLayout>
                  <c:x val="-3.7436088669695897E-3"/>
                  <c:y val="-2.1291946515244142E-2"/>
                </c:manualLayout>
              </c:layout>
              <c:dLblPos val="r"/>
              <c:showLegendKey val="0"/>
              <c:showVal val="1"/>
              <c:showCatName val="0"/>
              <c:showSerName val="0"/>
              <c:showPercent val="0"/>
              <c:showBubbleSize val="1"/>
              <c:separator> </c:separator>
              <c:extLst>
                <c:ext xmlns:c15="http://schemas.microsoft.com/office/drawing/2012/chart" uri="{CE6537A1-D6FC-4f65-9D91-7224C49458BB}"/>
                <c:ext xmlns:c16="http://schemas.microsoft.com/office/drawing/2014/chart" uri="{C3380CC4-5D6E-409C-BE32-E72D297353CC}">
                  <c16:uniqueId val="{00000002-0D8B-4F14-9CCB-071E2245C85F}"/>
                </c:ext>
              </c:extLst>
            </c:dLbl>
            <c:spPr>
              <a:solidFill>
                <a:schemeClr val="accent5">
                  <a:lumMod val="20000"/>
                  <a:lumOff val="80000"/>
                </a:schemeClr>
              </a:solidFill>
              <a:ln>
                <a:noFill/>
              </a:ln>
              <a:effectLst/>
            </c:spPr>
            <c:txPr>
              <a:bodyPr wrap="none"/>
              <a:lstStyle/>
              <a:p>
                <a:pPr>
                  <a:defRPr sz="900" b="0" strike="noStrike" spc="-1">
                    <a:latin typeface="Aptos Narrow" panose="020B0004020202020204" pitchFamily="34" charset="0"/>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Vývoj'!$C$5:$C$16</c:f>
              <c:numCache>
                <c:formatCode>#,##0.0</c:formatCode>
                <c:ptCount val="12"/>
                <c:pt idx="0">
                  <c:v>99.05</c:v>
                </c:pt>
                <c:pt idx="1">
                  <c:v>100</c:v>
                </c:pt>
                <c:pt idx="2">
                  <c:v>102</c:v>
                </c:pt>
                <c:pt idx="3">
                  <c:v>106</c:v>
                </c:pt>
                <c:pt idx="4">
                  <c:v>110</c:v>
                </c:pt>
                <c:pt idx="5">
                  <c:v>112</c:v>
                </c:pt>
                <c:pt idx="6">
                  <c:v>113</c:v>
                </c:pt>
                <c:pt idx="7">
                  <c:v>114</c:v>
                </c:pt>
                <c:pt idx="8">
                  <c:v>115</c:v>
                </c:pt>
                <c:pt idx="9">
                  <c:v>116</c:v>
                </c:pt>
                <c:pt idx="10">
                  <c:v>117</c:v>
                </c:pt>
                <c:pt idx="11">
                  <c:v>117</c:v>
                </c:pt>
              </c:numCache>
            </c:numRef>
          </c:val>
          <c:smooth val="1"/>
          <c:extLst>
            <c:ext xmlns:c16="http://schemas.microsoft.com/office/drawing/2014/chart" uri="{C3380CC4-5D6E-409C-BE32-E72D297353CC}">
              <c16:uniqueId val="{00000003-0D8B-4F14-9CCB-071E2245C85F}"/>
            </c:ext>
          </c:extLst>
        </c:ser>
        <c:ser>
          <c:idx val="2"/>
          <c:order val="2"/>
          <c:tx>
            <c:v>Optimistický</c:v>
          </c:tx>
          <c:spPr>
            <a:ln w="21960">
              <a:solidFill>
                <a:srgbClr val="375623"/>
              </a:solidFill>
              <a:round/>
            </a:ln>
          </c:spPr>
          <c:marker>
            <c:symbol val="none"/>
          </c:marker>
          <c:dLbls>
            <c:spPr>
              <a:solidFill>
                <a:schemeClr val="accent3">
                  <a:lumMod val="40000"/>
                  <a:lumOff val="60000"/>
                </a:schemeClr>
              </a:solidFill>
              <a:ln>
                <a:noFill/>
              </a:ln>
              <a:effectLst/>
            </c:spPr>
            <c:txPr>
              <a:bodyPr wrap="none"/>
              <a:lstStyle/>
              <a:p>
                <a:pPr>
                  <a:defRPr sz="900" b="0" strike="noStrike" spc="-1">
                    <a:latin typeface="Aptos Narrow" panose="020B0004020202020204" pitchFamily="34" charset="0"/>
                  </a:defRPr>
                </a:pPr>
                <a:endParaRPr lang="cs-CZ"/>
              </a:p>
            </c:txPr>
            <c:dLblPos val="b"/>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Vývoj'!$D$5:$D$16</c:f>
              <c:numCache>
                <c:formatCode>#,##0.0</c:formatCode>
                <c:ptCount val="12"/>
                <c:pt idx="0">
                  <c:v>99.05</c:v>
                </c:pt>
                <c:pt idx="1">
                  <c:v>99</c:v>
                </c:pt>
                <c:pt idx="2">
                  <c:v>97</c:v>
                </c:pt>
                <c:pt idx="3">
                  <c:v>96</c:v>
                </c:pt>
                <c:pt idx="4">
                  <c:v>95</c:v>
                </c:pt>
                <c:pt idx="5">
                  <c:v>96</c:v>
                </c:pt>
                <c:pt idx="6">
                  <c:v>96</c:v>
                </c:pt>
                <c:pt idx="7">
                  <c:v>97</c:v>
                </c:pt>
                <c:pt idx="8">
                  <c:v>97</c:v>
                </c:pt>
                <c:pt idx="9">
                  <c:v>97</c:v>
                </c:pt>
                <c:pt idx="10">
                  <c:v>97</c:v>
                </c:pt>
                <c:pt idx="11">
                  <c:v>97</c:v>
                </c:pt>
              </c:numCache>
            </c:numRef>
          </c:val>
          <c:smooth val="1"/>
          <c:extLst>
            <c:ext xmlns:c16="http://schemas.microsoft.com/office/drawing/2014/chart" uri="{C3380CC4-5D6E-409C-BE32-E72D297353CC}">
              <c16:uniqueId val="{00000004-0D8B-4F14-9CCB-071E2245C85F}"/>
            </c:ext>
          </c:extLst>
        </c:ser>
        <c:ser>
          <c:idx val="3"/>
          <c:order val="3"/>
          <c:tx>
            <c:v>Strukt. podlaha (~95)</c:v>
          </c:tx>
          <c:spPr>
            <a:ln w="14040">
              <a:solidFill>
                <a:srgbClr val="BF8F00"/>
              </a:solidFill>
              <a:prstDash val="dash"/>
              <a:round/>
            </a:ln>
          </c:spPr>
          <c:marker>
            <c:symbol val="none"/>
          </c:marker>
          <c:dLbls>
            <c:spPr>
              <a:noFill/>
              <a:ln>
                <a:noFill/>
              </a:ln>
              <a:effectLst/>
            </c:spPr>
            <c:txPr>
              <a:bodyPr wrap="none"/>
              <a:lstStyle/>
              <a:p>
                <a:pPr>
                  <a:defRPr sz="1000" b="0" strike="noStrike" spc="-1">
                    <a:latin typeface="Arial"/>
                  </a:defRPr>
                </a:pPr>
                <a:endParaRPr lang="cs-CZ"/>
              </a:p>
            </c:txPr>
            <c:showLegendKey val="0"/>
            <c:showVal val="0"/>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'CAL-2027 Vývoj'!$A$5:$A$16</c:f>
              <c:strCache>
                <c:ptCount val="12"/>
                <c:pt idx="0">
                  <c:v>25.6.26</c:v>
                </c:pt>
                <c:pt idx="1">
                  <c:v>7. 7. 2026</c:v>
                </c:pt>
                <c:pt idx="2">
                  <c:v>21. 7. 2026</c:v>
                </c:pt>
                <c:pt idx="3">
                  <c:v>4. 8. 2026</c:v>
                </c:pt>
                <c:pt idx="4">
                  <c:v>18. 8. 2026</c:v>
                </c:pt>
                <c:pt idx="5">
                  <c:v>1. 9. 2026</c:v>
                </c:pt>
                <c:pt idx="6">
                  <c:v>15. 9. 2026</c:v>
                </c:pt>
                <c:pt idx="7">
                  <c:v>1. 10. 2026</c:v>
                </c:pt>
                <c:pt idx="8">
                  <c:v>15. 10. 2026</c:v>
                </c:pt>
                <c:pt idx="9">
                  <c:v>1. 11. 2026</c:v>
                </c:pt>
                <c:pt idx="10">
                  <c:v>1. 12. 2026</c:v>
                </c:pt>
                <c:pt idx="11">
                  <c:v>31. 12. 2026</c:v>
                </c:pt>
              </c:strCache>
            </c:strRef>
          </c:cat>
          <c:val>
            <c:numRef>
              <c:f>'CAL-2027 Vývoj'!$E$5:$E$16</c:f>
              <c:numCache>
                <c:formatCode>#,##0.0</c:formatCode>
                <c:ptCount val="12"/>
                <c:pt idx="0">
                  <c:v>95</c:v>
                </c:pt>
                <c:pt idx="1">
                  <c:v>95</c:v>
                </c:pt>
                <c:pt idx="2">
                  <c:v>95</c:v>
                </c:pt>
                <c:pt idx="3">
                  <c:v>95</c:v>
                </c:pt>
                <c:pt idx="4">
                  <c:v>95</c:v>
                </c:pt>
                <c:pt idx="5">
                  <c:v>95</c:v>
                </c:pt>
                <c:pt idx="6">
                  <c:v>95</c:v>
                </c:pt>
                <c:pt idx="7">
                  <c:v>95</c:v>
                </c:pt>
                <c:pt idx="8">
                  <c:v>95</c:v>
                </c:pt>
                <c:pt idx="9">
                  <c:v>95</c:v>
                </c:pt>
                <c:pt idx="10">
                  <c:v>95</c:v>
                </c:pt>
                <c:pt idx="11">
                  <c:v>95</c:v>
                </c:pt>
              </c:numCache>
            </c:numRef>
          </c:val>
          <c:smooth val="1"/>
          <c:extLst>
            <c:ext xmlns:c16="http://schemas.microsoft.com/office/drawing/2014/chart" uri="{C3380CC4-5D6E-409C-BE32-E72D297353CC}">
              <c16:uniqueId val="{00000005-0D8B-4F14-9CCB-071E2245C85F}"/>
            </c:ext>
          </c:extLst>
        </c:ser>
        <c:dLbls>
          <c:showLegendKey val="0"/>
          <c:showVal val="0"/>
          <c:showCatName val="0"/>
          <c:showSerName val="0"/>
          <c:showPercent val="0"/>
          <c:showBubbleSize val="0"/>
        </c:dLbls>
        <c:hiLowLines>
          <c:spPr>
            <a:ln w="0">
              <a:noFill/>
            </a:ln>
          </c:spPr>
        </c:hiLowLines>
        <c:smooth val="0"/>
        <c:axId val="24501862"/>
        <c:axId val="59506168"/>
      </c:lineChart>
      <c:catAx>
        <c:axId val="24501862"/>
        <c:scaling>
          <c:orientation val="minMax"/>
        </c:scaling>
        <c:delete val="0"/>
        <c:axPos val="b"/>
        <c:title>
          <c:tx>
            <c:rich>
              <a:bodyPr rot="0"/>
              <a:lstStyle/>
              <a:p>
                <a:pPr>
                  <a:defRPr sz="1000" b="1" strike="noStrike" spc="-1">
                    <a:solidFill>
                      <a:srgbClr val="000000"/>
                    </a:solidFill>
                    <a:latin typeface="Calibri"/>
                  </a:defRPr>
                </a:pPr>
                <a:r>
                  <a:rPr lang="cs-CZ" sz="1000" b="1" strike="noStrike" spc="-1">
                    <a:solidFill>
                      <a:srgbClr val="000000"/>
                    </a:solidFill>
                    <a:latin typeface="Calibri"/>
                  </a:rPr>
                  <a:t>Období</a:t>
                </a:r>
              </a:p>
            </c:rich>
          </c:tx>
          <c:overlay val="0"/>
          <c:spPr>
            <a:noFill/>
            <a:ln w="0">
              <a:noFill/>
            </a:ln>
          </c:spPr>
        </c:title>
        <c:numFmt formatCode="General"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59506168"/>
        <c:crosses val="autoZero"/>
        <c:auto val="1"/>
        <c:lblAlgn val="ctr"/>
        <c:lblOffset val="100"/>
        <c:noMultiLvlLbl val="0"/>
      </c:catAx>
      <c:valAx>
        <c:axId val="59506168"/>
        <c:scaling>
          <c:orientation val="minMax"/>
          <c:max val="158"/>
          <c:min val="80"/>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cs-CZ" sz="1000" b="1" strike="noStrike" spc="-1">
                    <a:solidFill>
                      <a:srgbClr val="000000"/>
                    </a:solidFill>
                    <a:latin typeface="Calibri"/>
                  </a:rPr>
                  <a:t>EUR/MWh</a:t>
                </a:r>
              </a:p>
            </c:rich>
          </c:tx>
          <c:overlay val="0"/>
          <c:spPr>
            <a:noFill/>
            <a:ln w="0">
              <a:noFill/>
            </a:ln>
          </c:spPr>
        </c:title>
        <c:numFmt formatCode="#,##0.0"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24501862"/>
        <c:crosses val="autoZero"/>
        <c:crossBetween val="between"/>
      </c:valAx>
      <c:spPr>
        <a:noFill/>
        <a:ln w="0">
          <a:noFill/>
        </a:ln>
      </c:spPr>
    </c:plotArea>
    <c:legend>
      <c:legendPos val="b"/>
      <c:overlay val="0"/>
      <c:spPr>
        <a:noFill/>
        <a:ln w="0">
          <a:noFill/>
        </a:ln>
      </c:spPr>
      <c:txPr>
        <a:bodyPr/>
        <a:lstStyle/>
        <a:p>
          <a:pPr>
            <a:defRPr sz="1000" b="0" strike="noStrike" spc="-1">
              <a:solidFill>
                <a:srgbClr val="000000"/>
              </a:solidFill>
              <a:latin typeface="Calibri"/>
            </a:defRPr>
          </a:pPr>
          <a:endParaRPr lang="cs-CZ"/>
        </a:p>
      </c:txPr>
    </c:legend>
    <c:plotVisOnly val="1"/>
    <c:dispBlanksAs val="gap"/>
    <c:showDLblsOverMax val="1"/>
  </c:chart>
  <c:spPr>
    <a:solidFill>
      <a:srgbClr val="FFFFFF"/>
    </a:solidFill>
    <a:ln w="9360">
      <a:solidFill>
        <a:srgbClr val="D9D9D9"/>
      </a:solidFill>
      <a:round/>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a:lstStyle/>
          <a:p>
            <a:pPr>
              <a:defRPr sz="1800" b="1" strike="noStrike" spc="-1">
                <a:solidFill>
                  <a:srgbClr val="000000"/>
                </a:solidFill>
                <a:latin typeface="Calibri"/>
              </a:defRPr>
            </a:pPr>
            <a:r>
              <a:rPr lang="cs-CZ" sz="1000" b="1" strike="noStrike" spc="-1">
                <a:solidFill>
                  <a:srgbClr val="000000"/>
                </a:solidFill>
                <a:latin typeface="Calibri"/>
              </a:rPr>
              <a:t>CZ CAL-2028 — Prognóza vývoje ve třech scénářích</a:t>
            </a:r>
          </a:p>
        </c:rich>
      </c:tx>
      <c:overlay val="0"/>
      <c:spPr>
        <a:noFill/>
        <a:ln w="0">
          <a:noFill/>
        </a:ln>
      </c:spPr>
    </c:title>
    <c:autoTitleDeleted val="0"/>
    <c:plotArea>
      <c:layout/>
      <c:lineChart>
        <c:grouping val="standard"/>
        <c:varyColors val="0"/>
        <c:ser>
          <c:idx val="0"/>
          <c:order val="0"/>
          <c:tx>
            <c:strRef>
              <c:f>'CAL-2028 Scénáře'!$B$4</c:f>
              <c:strCache>
                <c:ptCount val="1"/>
                <c:pt idx="0">
                  <c:v>Pesimistický
(EUR/MWh)</c:v>
                </c:pt>
              </c:strCache>
            </c:strRef>
          </c:tx>
          <c:spPr>
            <a:ln w="20160">
              <a:solidFill>
                <a:srgbClr val="C00000"/>
              </a:solidFill>
              <a:round/>
            </a:ln>
          </c:spPr>
          <c:marker>
            <c:symbol val="none"/>
          </c:marker>
          <c:dLbls>
            <c:spPr>
              <a:solidFill>
                <a:schemeClr val="accent2">
                  <a:lumMod val="20000"/>
                  <a:lumOff val="80000"/>
                </a:schemeClr>
              </a:solidFill>
              <a:ln>
                <a:noFill/>
              </a:ln>
              <a:effectLst/>
            </c:spPr>
            <c:txPr>
              <a:bodyPr wrap="none"/>
              <a:lstStyle/>
              <a:p>
                <a:pPr>
                  <a:defRPr sz="900" b="0" strike="noStrike" spc="-1">
                    <a:latin typeface="+mn-lt"/>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Scénáře'!$B$5:$B$14</c:f>
              <c:numCache>
                <c:formatCode>#,##0.0</c:formatCode>
                <c:ptCount val="10"/>
                <c:pt idx="0">
                  <c:v>88.22</c:v>
                </c:pt>
                <c:pt idx="1">
                  <c:v>91</c:v>
                </c:pt>
                <c:pt idx="2">
                  <c:v>94.5</c:v>
                </c:pt>
                <c:pt idx="3">
                  <c:v>98.5</c:v>
                </c:pt>
                <c:pt idx="4">
                  <c:v>102.5</c:v>
                </c:pt>
                <c:pt idx="5">
                  <c:v>106</c:v>
                </c:pt>
                <c:pt idx="6">
                  <c:v>109</c:v>
                </c:pt>
                <c:pt idx="7">
                  <c:v>111.5</c:v>
                </c:pt>
                <c:pt idx="8">
                  <c:v>113.5</c:v>
                </c:pt>
                <c:pt idx="9">
                  <c:v>115</c:v>
                </c:pt>
              </c:numCache>
            </c:numRef>
          </c:val>
          <c:smooth val="1"/>
          <c:extLst>
            <c:ext xmlns:c16="http://schemas.microsoft.com/office/drawing/2014/chart" uri="{C3380CC4-5D6E-409C-BE32-E72D297353CC}">
              <c16:uniqueId val="{00000000-68C1-404F-99FD-94DE03AE8052}"/>
            </c:ext>
          </c:extLst>
        </c:ser>
        <c:ser>
          <c:idx val="1"/>
          <c:order val="1"/>
          <c:tx>
            <c:strRef>
              <c:f>'CAL-2028 Scénáře'!$C$4</c:f>
              <c:strCache>
                <c:ptCount val="1"/>
                <c:pt idx="0">
                  <c:v>Základní
(EUR/MWh)</c:v>
                </c:pt>
              </c:strCache>
            </c:strRef>
          </c:tx>
          <c:spPr>
            <a:ln w="20160">
              <a:solidFill>
                <a:srgbClr val="0070C0"/>
              </a:solidFill>
              <a:round/>
            </a:ln>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1-68C1-404F-99FD-94DE03AE8052}"/>
                </c:ext>
              </c:extLst>
            </c:dLbl>
            <c:spPr>
              <a:solidFill>
                <a:schemeClr val="accent5">
                  <a:lumMod val="20000"/>
                  <a:lumOff val="80000"/>
                </a:schemeClr>
              </a:solidFill>
              <a:ln>
                <a:noFill/>
              </a:ln>
              <a:effectLst/>
            </c:spPr>
            <c:txPr>
              <a:bodyPr wrap="none"/>
              <a:lstStyle/>
              <a:p>
                <a:pPr>
                  <a:defRPr sz="900" b="0" strike="noStrike" spc="-1">
                    <a:latin typeface="+mn-lt"/>
                  </a:defRPr>
                </a:pPr>
                <a:endParaRPr lang="cs-CZ"/>
              </a:p>
            </c:txPr>
            <c:dLblPos val="t"/>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Scénáře'!$C$5:$C$14</c:f>
              <c:numCache>
                <c:formatCode>#,##0.0</c:formatCode>
                <c:ptCount val="10"/>
                <c:pt idx="0">
                  <c:v>88.22</c:v>
                </c:pt>
                <c:pt idx="1">
                  <c:v>89.5</c:v>
                </c:pt>
                <c:pt idx="2">
                  <c:v>91</c:v>
                </c:pt>
                <c:pt idx="3">
                  <c:v>92.5</c:v>
                </c:pt>
                <c:pt idx="4">
                  <c:v>93.5</c:v>
                </c:pt>
                <c:pt idx="5">
                  <c:v>94.5</c:v>
                </c:pt>
                <c:pt idx="6">
                  <c:v>95.5</c:v>
                </c:pt>
                <c:pt idx="7">
                  <c:v>96.5</c:v>
                </c:pt>
                <c:pt idx="8">
                  <c:v>97</c:v>
                </c:pt>
                <c:pt idx="9">
                  <c:v>97.5</c:v>
                </c:pt>
              </c:numCache>
            </c:numRef>
          </c:val>
          <c:smooth val="1"/>
          <c:extLst>
            <c:ext xmlns:c16="http://schemas.microsoft.com/office/drawing/2014/chart" uri="{C3380CC4-5D6E-409C-BE32-E72D297353CC}">
              <c16:uniqueId val="{00000002-68C1-404F-99FD-94DE03AE8052}"/>
            </c:ext>
          </c:extLst>
        </c:ser>
        <c:ser>
          <c:idx val="2"/>
          <c:order val="2"/>
          <c:tx>
            <c:strRef>
              <c:f>'CAL-2028 Scénáře'!$D$4</c:f>
              <c:strCache>
                <c:ptCount val="1"/>
                <c:pt idx="0">
                  <c:v>Optimistický
(EUR/MWh)</c:v>
                </c:pt>
              </c:strCache>
            </c:strRef>
          </c:tx>
          <c:spPr>
            <a:ln w="20160">
              <a:solidFill>
                <a:srgbClr val="375623"/>
              </a:solidFill>
              <a:round/>
            </a:ln>
          </c:spPr>
          <c:marker>
            <c:symbol val="none"/>
          </c:marker>
          <c:dLbls>
            <c:spPr>
              <a:solidFill>
                <a:schemeClr val="accent3">
                  <a:lumMod val="20000"/>
                  <a:lumOff val="80000"/>
                </a:schemeClr>
              </a:solidFill>
              <a:ln>
                <a:noFill/>
              </a:ln>
              <a:effectLst/>
            </c:spPr>
            <c:txPr>
              <a:bodyPr wrap="none"/>
              <a:lstStyle/>
              <a:p>
                <a:pPr>
                  <a:defRPr sz="900" b="0" strike="noStrike" spc="-1">
                    <a:latin typeface="+mn-lt"/>
                  </a:defRPr>
                </a:pPr>
                <a:endParaRPr lang="cs-CZ"/>
              </a:p>
            </c:txPr>
            <c:dLblPos val="b"/>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Scénáře'!$D$5:$D$14</c:f>
              <c:numCache>
                <c:formatCode>#,##0.0</c:formatCode>
                <c:ptCount val="10"/>
                <c:pt idx="0">
                  <c:v>88.22</c:v>
                </c:pt>
                <c:pt idx="1">
                  <c:v>88.5</c:v>
                </c:pt>
                <c:pt idx="2">
                  <c:v>88.5</c:v>
                </c:pt>
                <c:pt idx="3">
                  <c:v>88.5</c:v>
                </c:pt>
                <c:pt idx="4">
                  <c:v>88</c:v>
                </c:pt>
                <c:pt idx="5">
                  <c:v>87.5</c:v>
                </c:pt>
                <c:pt idx="6">
                  <c:v>87</c:v>
                </c:pt>
                <c:pt idx="7">
                  <c:v>87</c:v>
                </c:pt>
                <c:pt idx="8">
                  <c:v>87.5</c:v>
                </c:pt>
                <c:pt idx="9">
                  <c:v>88</c:v>
                </c:pt>
              </c:numCache>
            </c:numRef>
          </c:val>
          <c:smooth val="1"/>
          <c:extLst>
            <c:ext xmlns:c16="http://schemas.microsoft.com/office/drawing/2014/chart" uri="{C3380CC4-5D6E-409C-BE32-E72D297353CC}">
              <c16:uniqueId val="{00000003-68C1-404F-99FD-94DE03AE8052}"/>
            </c:ext>
          </c:extLst>
        </c:ser>
        <c:ser>
          <c:idx val="3"/>
          <c:order val="3"/>
          <c:tx>
            <c:strRef>
              <c:f>'CAL-2028 Scénáře'!$E$4</c:f>
              <c:strCache>
                <c:ptCount val="1"/>
                <c:pt idx="0">
                  <c:v>Spodní podlaha
(EUR/MWh)</c:v>
                </c:pt>
              </c:strCache>
            </c:strRef>
          </c:tx>
          <c:spPr>
            <a:ln w="14040">
              <a:solidFill>
                <a:srgbClr val="BF8F00"/>
              </a:solidFill>
              <a:prstDash val="dash"/>
              <a:round/>
            </a:ln>
          </c:spPr>
          <c:marker>
            <c:symbol val="none"/>
          </c:marker>
          <c:dLbls>
            <c:spPr>
              <a:noFill/>
              <a:ln>
                <a:noFill/>
              </a:ln>
              <a:effectLst/>
            </c:spPr>
            <c:txPr>
              <a:bodyPr wrap="none"/>
              <a:lstStyle/>
              <a:p>
                <a:pPr>
                  <a:defRPr sz="1000" b="0" strike="noStrike" spc="-1">
                    <a:latin typeface="Arial"/>
                  </a:defRPr>
                </a:pPr>
                <a:endParaRPr lang="cs-CZ"/>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numRef>
              <c:f>'CAL-2028 Scénáře'!$A$5:$A$14</c:f>
              <c:numCache>
                <c:formatCode>d/m/yyyy;@</c:formatCode>
                <c:ptCount val="10"/>
                <c:pt idx="0">
                  <c:v>46203</c:v>
                </c:pt>
                <c:pt idx="1">
                  <c:v>46235</c:v>
                </c:pt>
                <c:pt idx="2">
                  <c:v>46296</c:v>
                </c:pt>
                <c:pt idx="3">
                  <c:v>46357</c:v>
                </c:pt>
                <c:pt idx="4">
                  <c:v>46419</c:v>
                </c:pt>
                <c:pt idx="5">
                  <c:v>46478</c:v>
                </c:pt>
                <c:pt idx="6">
                  <c:v>46539</c:v>
                </c:pt>
                <c:pt idx="7">
                  <c:v>46600</c:v>
                </c:pt>
                <c:pt idx="8">
                  <c:v>46661</c:v>
                </c:pt>
                <c:pt idx="9">
                  <c:v>46722</c:v>
                </c:pt>
              </c:numCache>
            </c:numRef>
          </c:cat>
          <c:val>
            <c:numRef>
              <c:f>'CAL-2028 Scénáře'!$E$5:$E$14</c:f>
              <c:numCache>
                <c:formatCode>#,##0.0</c:formatCode>
                <c:ptCount val="10"/>
                <c:pt idx="0">
                  <c:v>88.22</c:v>
                </c:pt>
                <c:pt idx="1">
                  <c:v>89</c:v>
                </c:pt>
                <c:pt idx="2">
                  <c:v>90</c:v>
                </c:pt>
                <c:pt idx="3">
                  <c:v>90</c:v>
                </c:pt>
                <c:pt idx="4">
                  <c:v>91</c:v>
                </c:pt>
                <c:pt idx="5">
                  <c:v>91</c:v>
                </c:pt>
                <c:pt idx="6">
                  <c:v>92</c:v>
                </c:pt>
                <c:pt idx="7">
                  <c:v>92</c:v>
                </c:pt>
                <c:pt idx="8">
                  <c:v>93</c:v>
                </c:pt>
                <c:pt idx="9">
                  <c:v>93</c:v>
                </c:pt>
              </c:numCache>
            </c:numRef>
          </c:val>
          <c:smooth val="1"/>
          <c:extLst>
            <c:ext xmlns:c16="http://schemas.microsoft.com/office/drawing/2014/chart" uri="{C3380CC4-5D6E-409C-BE32-E72D297353CC}">
              <c16:uniqueId val="{00000004-68C1-404F-99FD-94DE03AE8052}"/>
            </c:ext>
          </c:extLst>
        </c:ser>
        <c:dLbls>
          <c:showLegendKey val="0"/>
          <c:showVal val="0"/>
          <c:showCatName val="0"/>
          <c:showSerName val="0"/>
          <c:showPercent val="0"/>
          <c:showBubbleSize val="0"/>
        </c:dLbls>
        <c:hiLowLines>
          <c:spPr>
            <a:ln w="0">
              <a:noFill/>
            </a:ln>
          </c:spPr>
        </c:hiLowLines>
        <c:smooth val="0"/>
        <c:axId val="34955788"/>
        <c:axId val="53616061"/>
      </c:lineChart>
      <c:dateAx>
        <c:axId val="34955788"/>
        <c:scaling>
          <c:orientation val="minMax"/>
        </c:scaling>
        <c:delete val="0"/>
        <c:axPos val="b"/>
        <c:title>
          <c:tx>
            <c:rich>
              <a:bodyPr rot="0"/>
              <a:lstStyle/>
              <a:p>
                <a:pPr>
                  <a:defRPr sz="1000" b="1" strike="noStrike" spc="-1">
                    <a:solidFill>
                      <a:srgbClr val="000000"/>
                    </a:solidFill>
                    <a:latin typeface="Calibri"/>
                  </a:defRPr>
                </a:pPr>
                <a:r>
                  <a:rPr lang="cs-CZ" sz="1000" b="1" strike="noStrike" spc="-1">
                    <a:solidFill>
                      <a:srgbClr val="000000"/>
                    </a:solidFill>
                    <a:latin typeface="Calibri"/>
                  </a:rPr>
                  <a:t>Období</a:t>
                </a:r>
              </a:p>
            </c:rich>
          </c:tx>
          <c:overlay val="0"/>
          <c:spPr>
            <a:noFill/>
            <a:ln w="0">
              <a:noFill/>
            </a:ln>
          </c:spPr>
        </c:title>
        <c:numFmt formatCode="d/m/yyyy;@" sourceLinked="1"/>
        <c:majorTickMark val="none"/>
        <c:minorTickMark val="none"/>
        <c:tickLblPos val="nextTo"/>
        <c:spPr>
          <a:ln w="9360">
            <a:solidFill>
              <a:srgbClr val="878787"/>
            </a:solidFill>
            <a:round/>
          </a:ln>
        </c:spPr>
        <c:txPr>
          <a:bodyPr/>
          <a:lstStyle/>
          <a:p>
            <a:pPr>
              <a:defRPr sz="900" b="0" strike="noStrike" spc="-1">
                <a:solidFill>
                  <a:srgbClr val="000000"/>
                </a:solidFill>
                <a:latin typeface="Calibri"/>
              </a:defRPr>
            </a:pPr>
            <a:endParaRPr lang="cs-CZ"/>
          </a:p>
        </c:txPr>
        <c:crossAx val="53616061"/>
        <c:crosses val="autoZero"/>
        <c:auto val="1"/>
        <c:lblOffset val="100"/>
        <c:baseTimeUnit val="months"/>
      </c:dateAx>
      <c:valAx>
        <c:axId val="53616061"/>
        <c:scaling>
          <c:orientation val="minMax"/>
          <c:max val="122"/>
          <c:min val="80"/>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cs-CZ" sz="1000" b="1" strike="noStrike" spc="-1">
                    <a:solidFill>
                      <a:srgbClr val="000000"/>
                    </a:solidFill>
                    <a:latin typeface="Calibri"/>
                  </a:rPr>
                  <a:t>EUR/MWh</a:t>
                </a:r>
              </a:p>
            </c:rich>
          </c:tx>
          <c:overlay val="0"/>
          <c:spPr>
            <a:noFill/>
            <a:ln w="0">
              <a:noFill/>
            </a:ln>
          </c:spPr>
        </c:title>
        <c:numFmt formatCode="#,##0.0"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cs-CZ"/>
          </a:p>
        </c:txPr>
        <c:crossAx val="34955788"/>
        <c:crosses val="autoZero"/>
        <c:crossBetween val="between"/>
      </c:valAx>
      <c:spPr>
        <a:noFill/>
        <a:ln w="0">
          <a:noFill/>
        </a:ln>
      </c:spPr>
    </c:plotArea>
    <c:legend>
      <c:legendPos val="b"/>
      <c:overlay val="0"/>
      <c:spPr>
        <a:noFill/>
        <a:ln w="0">
          <a:noFill/>
        </a:ln>
      </c:spPr>
      <c:txPr>
        <a:bodyPr/>
        <a:lstStyle/>
        <a:p>
          <a:pPr>
            <a:defRPr sz="1000" b="0" strike="noStrike" spc="-1">
              <a:solidFill>
                <a:srgbClr val="000000"/>
              </a:solidFill>
              <a:latin typeface="Calibri"/>
            </a:defRPr>
          </a:pPr>
          <a:endParaRPr lang="cs-CZ"/>
        </a:p>
      </c:txPr>
    </c:legend>
    <c:plotVisOnly val="1"/>
    <c:dispBlanksAs val="gap"/>
    <c:showDLblsOverMax val="1"/>
  </c:chart>
  <c:spPr>
    <a:solidFill>
      <a:srgbClr val="FFFFFF"/>
    </a:solidFill>
    <a:ln w="9360">
      <a:solidFill>
        <a:srgbClr val="D9D9D9"/>
      </a:solidFill>
      <a:round/>
    </a:ln>
  </c:spPr>
  <c:externalData r:id="rId2">
    <c:autoUpdate val="0"/>
  </c:externalData>
</c:chartSpac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Override>
</file>

<file path=word/theme/themeOverride2.xml><?xml version="1.0" encoding="utf-8"?>
<a:themeOverride xmlns:a="http://schemas.openxmlformats.org/drawingml/2006/main">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EA85C-B4C9-4541-B5B3-3DDDFCF5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1378</Words>
  <Characters>8135</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CENTROPOL ENERGY, a.s.</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Bartošová Monika</dc:creator>
  <cp:keywords/>
  <dc:description/>
  <cp:lastModifiedBy>petr jarkovský</cp:lastModifiedBy>
  <cp:revision>4</cp:revision>
  <dcterms:created xsi:type="dcterms:W3CDTF">2026-07-16T09:15:00Z</dcterms:created>
  <dcterms:modified xsi:type="dcterms:W3CDTF">2026-07-16T09:24:00Z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db696cb-b06f-4214-b638-7b05ae4e5e38_Enabled">
    <vt:lpwstr>true</vt:lpwstr>
  </property>
  <property fmtid="{D5CDD505-2E9C-101B-9397-08002B2CF9AE}" pid="3" name="MSIP_Label_bdb696cb-b06f-4214-b638-7b05ae4e5e38_SetDate">
    <vt:lpwstr>2023-03-20T13:28:07Z</vt:lpwstr>
  </property>
  <property fmtid="{D5CDD505-2E9C-101B-9397-08002B2CF9AE}" pid="4" name="MSIP_Label_bdb696cb-b06f-4214-b638-7b05ae4e5e38_Method">
    <vt:lpwstr>Standard</vt:lpwstr>
  </property>
  <property fmtid="{D5CDD505-2E9C-101B-9397-08002B2CF9AE}" pid="5" name="MSIP_Label_bdb696cb-b06f-4214-b638-7b05ae4e5e38_Name">
    <vt:lpwstr>Interní data</vt:lpwstr>
  </property>
  <property fmtid="{D5CDD505-2E9C-101B-9397-08002B2CF9AE}" pid="6" name="MSIP_Label_bdb696cb-b06f-4214-b638-7b05ae4e5e38_SiteId">
    <vt:lpwstr>53b8d820-e2f7-4682-858f-9e2aeec6ffd9</vt:lpwstr>
  </property>
  <property fmtid="{D5CDD505-2E9C-101B-9397-08002B2CF9AE}" pid="7" name="MSIP_Label_bdb696cb-b06f-4214-b638-7b05ae4e5e38_ActionId">
    <vt:lpwstr>273bff48-4957-4467-be3c-00004f57a60a</vt:lpwstr>
  </property>
  <property fmtid="{D5CDD505-2E9C-101B-9397-08002B2CF9AE}" pid="8" name="MSIP_Label_bdb696cb-b06f-4214-b638-7b05ae4e5e38_ContentBits">
    <vt:lpwstr>0</vt:lpwstr>
  </property>
</Properties>
</file>