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695EFD7" w14:textId="77777777" w:rsidR="001D61C7" w:rsidRDefault="001D61C7" w:rsidP="00A02A95">
      <w:pPr>
        <w:rPr>
          <w:rFonts w:ascii="Arial" w:hAnsi="Arial" w:cs="Arial"/>
          <w:b/>
          <w:bCs/>
          <w:sz w:val="28"/>
          <w:szCs w:val="28"/>
        </w:rPr>
      </w:pPr>
      <w:bookmarkStart w:id="0" w:name="OLE_LINK3"/>
    </w:p>
    <w:p w14:paraId="50579548" w14:textId="28D7B912" w:rsidR="003871ED" w:rsidRPr="00A02A95" w:rsidRDefault="003871ED" w:rsidP="001D61C7">
      <w:pPr>
        <w:jc w:val="center"/>
        <w:rPr>
          <w:rFonts w:ascii="Arial" w:hAnsi="Arial" w:cs="Arial"/>
          <w:b/>
          <w:bCs/>
          <w:sz w:val="28"/>
          <w:szCs w:val="28"/>
        </w:rPr>
      </w:pPr>
      <w:r w:rsidRPr="003871ED">
        <w:rPr>
          <w:rFonts w:ascii="Arial" w:hAnsi="Arial" w:cs="Arial"/>
          <w:b/>
          <w:bCs/>
          <w:sz w:val="28"/>
          <w:szCs w:val="28"/>
        </w:rPr>
        <w:t xml:space="preserve">Extrémní počasí mění pravidla cestovního ruchu. </w:t>
      </w:r>
      <w:r>
        <w:rPr>
          <w:rFonts w:ascii="Arial" w:hAnsi="Arial" w:cs="Arial"/>
          <w:b/>
          <w:bCs/>
          <w:sz w:val="28"/>
          <w:szCs w:val="28"/>
        </w:rPr>
        <w:br/>
      </w:r>
      <w:r w:rsidRPr="003871ED">
        <w:rPr>
          <w:rFonts w:ascii="Arial" w:hAnsi="Arial" w:cs="Arial"/>
          <w:b/>
          <w:bCs/>
          <w:sz w:val="28"/>
          <w:szCs w:val="28"/>
        </w:rPr>
        <w:t>Destinace se musí připravit na novou realitu</w:t>
      </w:r>
    </w:p>
    <w:p w14:paraId="136DECAF" w14:textId="77777777" w:rsidR="00A02A95" w:rsidRPr="00A02A95" w:rsidRDefault="00A02A95" w:rsidP="00A02A95">
      <w:pPr>
        <w:rPr>
          <w:rFonts w:ascii="Arial" w:hAnsi="Arial" w:cs="Arial"/>
          <w:sz w:val="22"/>
          <w:szCs w:val="22"/>
        </w:rPr>
      </w:pPr>
    </w:p>
    <w:p w14:paraId="690AA898" w14:textId="71545D25" w:rsidR="001D61C7" w:rsidRDefault="00A02A95" w:rsidP="001D61C7">
      <w:pPr>
        <w:rPr>
          <w:rFonts w:ascii="Arial" w:hAnsi="Arial" w:cs="Arial"/>
          <w:b/>
          <w:bCs/>
          <w:sz w:val="22"/>
          <w:szCs w:val="22"/>
        </w:rPr>
      </w:pPr>
      <w:r w:rsidRPr="00A02A95">
        <w:rPr>
          <w:rFonts w:ascii="Arial" w:hAnsi="Arial" w:cs="Arial"/>
          <w:b/>
          <w:bCs/>
          <w:sz w:val="22"/>
          <w:szCs w:val="22"/>
        </w:rPr>
        <w:t xml:space="preserve">Praha, </w:t>
      </w:r>
      <w:r w:rsidR="00336C7E">
        <w:rPr>
          <w:rFonts w:ascii="Arial" w:hAnsi="Arial" w:cs="Arial"/>
          <w:b/>
          <w:bCs/>
          <w:sz w:val="22"/>
          <w:szCs w:val="22"/>
        </w:rPr>
        <w:t>6</w:t>
      </w:r>
      <w:r w:rsidRPr="00A02A95">
        <w:rPr>
          <w:rFonts w:ascii="Arial" w:hAnsi="Arial" w:cs="Arial"/>
          <w:b/>
          <w:bCs/>
          <w:sz w:val="22"/>
          <w:szCs w:val="22"/>
        </w:rPr>
        <w:t xml:space="preserve">. </w:t>
      </w:r>
      <w:r w:rsidR="001D61C7">
        <w:rPr>
          <w:rFonts w:ascii="Arial" w:hAnsi="Arial" w:cs="Arial"/>
          <w:b/>
          <w:bCs/>
          <w:sz w:val="22"/>
          <w:szCs w:val="22"/>
        </w:rPr>
        <w:t>srpna</w:t>
      </w:r>
      <w:r w:rsidRPr="00A02A95">
        <w:rPr>
          <w:rFonts w:ascii="Arial" w:hAnsi="Arial" w:cs="Arial"/>
          <w:b/>
          <w:bCs/>
          <w:sz w:val="22"/>
          <w:szCs w:val="22"/>
        </w:rPr>
        <w:t xml:space="preserve"> 2026 </w:t>
      </w:r>
      <w:r w:rsidR="001D61C7">
        <w:rPr>
          <w:rFonts w:ascii="Arial" w:hAnsi="Arial" w:cs="Arial"/>
          <w:b/>
          <w:bCs/>
          <w:sz w:val="22"/>
          <w:szCs w:val="22"/>
        </w:rPr>
        <w:t xml:space="preserve">- </w:t>
      </w:r>
      <w:r w:rsidR="001D61C7" w:rsidRPr="001D61C7">
        <w:rPr>
          <w:rFonts w:ascii="Arial" w:hAnsi="Arial" w:cs="Arial"/>
          <w:b/>
          <w:bCs/>
          <w:sz w:val="22"/>
          <w:szCs w:val="22"/>
        </w:rPr>
        <w:t>Ještě donedávna řešily turistické destinace především to, jak přilákat více návštěvníků. Podle nejnovější studie</w:t>
      </w:r>
      <w:r w:rsidR="001B0F75">
        <w:rPr>
          <w:rFonts w:ascii="Arial" w:hAnsi="Arial" w:cs="Arial"/>
          <w:b/>
          <w:bCs/>
          <w:sz w:val="22"/>
          <w:szCs w:val="22"/>
        </w:rPr>
        <w:t xml:space="preserve"> </w:t>
      </w:r>
      <w:hyperlink r:id="rId4" w:history="1">
        <w:r w:rsidR="001B0F75" w:rsidRPr="006108D9">
          <w:rPr>
            <w:rStyle w:val="Hypertextovodkaz"/>
            <w:rFonts w:ascii="Arial" w:hAnsi="Arial" w:cs="Arial"/>
            <w:b/>
            <w:bCs/>
            <w:sz w:val="22"/>
            <w:szCs w:val="22"/>
          </w:rPr>
          <w:t xml:space="preserve">OECD </w:t>
        </w:r>
        <w:proofErr w:type="spellStart"/>
        <w:r w:rsidR="001B0F75" w:rsidRPr="006108D9">
          <w:rPr>
            <w:rStyle w:val="Hypertextovodkaz"/>
            <w:rFonts w:ascii="Arial" w:hAnsi="Arial" w:cs="Arial"/>
            <w:b/>
            <w:bCs/>
            <w:sz w:val="22"/>
            <w:szCs w:val="22"/>
          </w:rPr>
          <w:t>Tourism</w:t>
        </w:r>
        <w:proofErr w:type="spellEnd"/>
        <w:r w:rsidR="001B0F75" w:rsidRPr="006108D9">
          <w:rPr>
            <w:rStyle w:val="Hypertextovodkaz"/>
            <w:rFonts w:ascii="Arial" w:hAnsi="Arial" w:cs="Arial"/>
            <w:b/>
            <w:bCs/>
            <w:sz w:val="22"/>
            <w:szCs w:val="22"/>
          </w:rPr>
          <w:t xml:space="preserve"> </w:t>
        </w:r>
        <w:proofErr w:type="spellStart"/>
        <w:r w:rsidR="001B0F75" w:rsidRPr="006108D9">
          <w:rPr>
            <w:rStyle w:val="Hypertextovodkaz"/>
            <w:rFonts w:ascii="Arial" w:hAnsi="Arial" w:cs="Arial"/>
            <w:b/>
            <w:bCs/>
            <w:sz w:val="22"/>
            <w:szCs w:val="22"/>
          </w:rPr>
          <w:t>Trends</w:t>
        </w:r>
        <w:proofErr w:type="spellEnd"/>
        <w:r w:rsidR="001B0F75" w:rsidRPr="006108D9">
          <w:rPr>
            <w:rStyle w:val="Hypertextovodkaz"/>
            <w:rFonts w:ascii="Arial" w:hAnsi="Arial" w:cs="Arial"/>
            <w:b/>
            <w:bCs/>
            <w:sz w:val="22"/>
            <w:szCs w:val="22"/>
          </w:rPr>
          <w:t xml:space="preserve"> and </w:t>
        </w:r>
        <w:proofErr w:type="spellStart"/>
        <w:r w:rsidR="001B0F75" w:rsidRPr="006108D9">
          <w:rPr>
            <w:rStyle w:val="Hypertextovodkaz"/>
            <w:rFonts w:ascii="Arial" w:hAnsi="Arial" w:cs="Arial"/>
            <w:b/>
            <w:bCs/>
            <w:sz w:val="22"/>
            <w:szCs w:val="22"/>
          </w:rPr>
          <w:t>Policies</w:t>
        </w:r>
        <w:proofErr w:type="spellEnd"/>
        <w:r w:rsidR="001B0F75" w:rsidRPr="006108D9">
          <w:rPr>
            <w:rStyle w:val="Hypertextovodkaz"/>
            <w:rFonts w:ascii="Arial" w:hAnsi="Arial" w:cs="Arial"/>
            <w:b/>
            <w:bCs/>
            <w:sz w:val="22"/>
            <w:szCs w:val="22"/>
          </w:rPr>
          <w:t xml:space="preserve"> 2026</w:t>
        </w:r>
      </w:hyperlink>
      <w:r w:rsidR="001B0F75" w:rsidRPr="006108D9">
        <w:rPr>
          <w:rFonts w:ascii="Arial" w:hAnsi="Arial" w:cs="Arial"/>
          <w:b/>
          <w:bCs/>
          <w:sz w:val="22"/>
          <w:szCs w:val="22"/>
        </w:rPr>
        <w:t xml:space="preserve"> </w:t>
      </w:r>
      <w:r w:rsidR="001D61C7" w:rsidRPr="001D61C7">
        <w:rPr>
          <w:rFonts w:ascii="Arial" w:hAnsi="Arial" w:cs="Arial"/>
          <w:b/>
          <w:bCs/>
          <w:sz w:val="22"/>
          <w:szCs w:val="22"/>
        </w:rPr>
        <w:t>se ale jejich priority začínají měnit. Vedle kvalitních služeb, marketingu nebo rozvoje turistické infrastruktury budou muset stále více investovat také do zvládání dopadů klimatických změn. Extrémní vedra, požáry, přívalové deště, povodně, sucho nebo sesuvy půdy už nelze považovat za výjimečné události. Destinace s nimi budou muset počítat při plánování dopravy, bezpečnosti, infrastruktury i každodenního provozu.</w:t>
      </w:r>
    </w:p>
    <w:p w14:paraId="1EC30A07" w14:textId="087111B6" w:rsidR="001D61C7" w:rsidRDefault="001D61C7" w:rsidP="001D61C7">
      <w:pPr>
        <w:rPr>
          <w:rFonts w:ascii="Arial" w:hAnsi="Arial" w:cs="Arial"/>
          <w:sz w:val="22"/>
          <w:szCs w:val="22"/>
        </w:rPr>
      </w:pPr>
      <w:r w:rsidRPr="001D61C7">
        <w:rPr>
          <w:rFonts w:ascii="Arial" w:hAnsi="Arial" w:cs="Arial"/>
          <w:sz w:val="22"/>
          <w:szCs w:val="22"/>
        </w:rPr>
        <w:t>Cestovní ruch je přitom jedním z odvětví, které je na počasí závislé více než většina ostatních. Stačí několik dní extrémních teplot, rozsáhlý lesní požár nebo přívalové srážky a turistická sezona se může během několika hodin výrazně změnit. Právě proto OECD doporučuje, aby se klimatická odolnost stala běžnou součástí strategického řízení turistických destinací, nikoliv pouze reakcí na mimořádné události.</w:t>
      </w:r>
    </w:p>
    <w:p w14:paraId="45170A3F" w14:textId="2AFAB6E1" w:rsidR="001D61C7" w:rsidRPr="001D61C7" w:rsidRDefault="001D61C7" w:rsidP="001D61C7">
      <w:pPr>
        <w:rPr>
          <w:rFonts w:ascii="Arial" w:hAnsi="Arial" w:cs="Arial"/>
          <w:b/>
          <w:bCs/>
          <w:sz w:val="22"/>
          <w:szCs w:val="22"/>
        </w:rPr>
      </w:pPr>
      <w:r w:rsidRPr="001D61C7">
        <w:rPr>
          <w:rFonts w:ascii="Arial" w:hAnsi="Arial" w:cs="Arial"/>
          <w:b/>
          <w:bCs/>
          <w:sz w:val="22"/>
          <w:szCs w:val="22"/>
        </w:rPr>
        <w:t>Destinace budou muset plánovat i krizové scénáře</w:t>
      </w:r>
      <w:r>
        <w:rPr>
          <w:rFonts w:ascii="Arial" w:hAnsi="Arial" w:cs="Arial"/>
          <w:b/>
          <w:bCs/>
          <w:sz w:val="22"/>
          <w:szCs w:val="22"/>
        </w:rPr>
        <w:br/>
      </w:r>
      <w:r w:rsidRPr="001D61C7">
        <w:rPr>
          <w:rFonts w:ascii="Arial" w:hAnsi="Arial" w:cs="Arial"/>
          <w:sz w:val="22"/>
          <w:szCs w:val="22"/>
        </w:rPr>
        <w:t>Podle</w:t>
      </w:r>
      <w:r>
        <w:rPr>
          <w:rFonts w:ascii="Arial" w:hAnsi="Arial" w:cs="Arial"/>
          <w:sz w:val="22"/>
          <w:szCs w:val="22"/>
        </w:rPr>
        <w:t xml:space="preserve"> studie</w:t>
      </w:r>
      <w:r w:rsidRPr="001D61C7">
        <w:rPr>
          <w:rFonts w:ascii="Arial" w:hAnsi="Arial" w:cs="Arial"/>
          <w:sz w:val="22"/>
          <w:szCs w:val="22"/>
        </w:rPr>
        <w:t xml:space="preserve"> už nebude stačit pouze reagovat na vzniklou situaci. Správci turistických regionů budou muset počítat s tím, že období extrémních veder, zvýšené riziko požárů nebo přívalových dešťů se budou opakovat a stanou se běžnou součástí letních sezon.</w:t>
      </w:r>
    </w:p>
    <w:p w14:paraId="765AC866" w14:textId="2EFC0B16" w:rsidR="001D61C7" w:rsidRPr="001D61C7" w:rsidRDefault="001D61C7" w:rsidP="001D61C7">
      <w:pPr>
        <w:rPr>
          <w:rFonts w:ascii="Arial" w:hAnsi="Arial" w:cs="Arial"/>
          <w:b/>
          <w:bCs/>
          <w:sz w:val="22"/>
          <w:szCs w:val="22"/>
        </w:rPr>
      </w:pPr>
      <w:r>
        <w:rPr>
          <w:rFonts w:ascii="Arial" w:hAnsi="Arial" w:cs="Arial"/>
          <w:sz w:val="22"/>
          <w:szCs w:val="22"/>
        </w:rPr>
        <w:t>„</w:t>
      </w:r>
      <w:r w:rsidRPr="001D61C7">
        <w:rPr>
          <w:rFonts w:ascii="Arial" w:hAnsi="Arial" w:cs="Arial"/>
          <w:sz w:val="22"/>
          <w:szCs w:val="22"/>
        </w:rPr>
        <w:t>To znamená připravovat krizové scénáře, modernizovat systémy včasného varování, posilovat kapacity záchranných složek, upravovat dopravní opatření nebo vytvářet evakuační plány pro návštěvníky. Stejně důležitá bude také schopnost rychle a srozumitelně informovat turisty o vznikajících rizicích a případných omezeních.</w:t>
      </w:r>
      <w:r>
        <w:rPr>
          <w:rFonts w:ascii="Arial" w:hAnsi="Arial" w:cs="Arial"/>
          <w:sz w:val="22"/>
          <w:szCs w:val="22"/>
        </w:rPr>
        <w:t xml:space="preserve"> </w:t>
      </w:r>
      <w:r w:rsidRPr="001D61C7">
        <w:rPr>
          <w:rFonts w:ascii="Arial" w:hAnsi="Arial" w:cs="Arial"/>
          <w:sz w:val="22"/>
          <w:szCs w:val="22"/>
        </w:rPr>
        <w:t>Klimatická připravenost se tak postupně stává stejně důležitou součástí řízení destinace jako marketing, rozvoj služeb nebo péče o turistickou infrastrukturu</w:t>
      </w:r>
      <w:r>
        <w:rPr>
          <w:rFonts w:ascii="Arial" w:hAnsi="Arial" w:cs="Arial"/>
          <w:sz w:val="22"/>
          <w:szCs w:val="22"/>
        </w:rPr>
        <w:t xml:space="preserve">,“ říká Martin </w:t>
      </w:r>
      <w:proofErr w:type="spellStart"/>
      <w:r>
        <w:rPr>
          <w:rFonts w:ascii="Arial" w:hAnsi="Arial" w:cs="Arial"/>
          <w:sz w:val="22"/>
          <w:szCs w:val="22"/>
        </w:rPr>
        <w:t>Venglář</w:t>
      </w:r>
      <w:proofErr w:type="spellEnd"/>
      <w:r>
        <w:rPr>
          <w:rFonts w:ascii="Arial" w:hAnsi="Arial" w:cs="Arial"/>
          <w:sz w:val="22"/>
          <w:szCs w:val="22"/>
        </w:rPr>
        <w:t xml:space="preserve"> ze společnosti </w:t>
      </w:r>
      <w:proofErr w:type="spellStart"/>
      <w:r>
        <w:rPr>
          <w:rFonts w:ascii="Arial" w:hAnsi="Arial" w:cs="Arial"/>
          <w:sz w:val="22"/>
          <w:szCs w:val="22"/>
        </w:rPr>
        <w:t>Nomce</w:t>
      </w:r>
      <w:proofErr w:type="spellEnd"/>
      <w:r>
        <w:rPr>
          <w:rFonts w:ascii="Arial" w:hAnsi="Arial" w:cs="Arial"/>
          <w:sz w:val="22"/>
          <w:szCs w:val="22"/>
        </w:rPr>
        <w:t>.</w:t>
      </w:r>
    </w:p>
    <w:p w14:paraId="4F8760BA" w14:textId="17D1BE11" w:rsidR="001D61C7" w:rsidRPr="001D61C7" w:rsidRDefault="001D61C7" w:rsidP="001D61C7">
      <w:pPr>
        <w:rPr>
          <w:rFonts w:ascii="Arial" w:hAnsi="Arial" w:cs="Arial"/>
          <w:b/>
          <w:bCs/>
          <w:sz w:val="22"/>
          <w:szCs w:val="22"/>
        </w:rPr>
      </w:pPr>
      <w:r w:rsidRPr="001D61C7">
        <w:rPr>
          <w:rFonts w:ascii="Arial" w:hAnsi="Arial" w:cs="Arial"/>
          <w:b/>
          <w:bCs/>
          <w:sz w:val="22"/>
          <w:szCs w:val="22"/>
        </w:rPr>
        <w:t>Investice se přesouvají od propagace k</w:t>
      </w:r>
      <w:r>
        <w:rPr>
          <w:rFonts w:ascii="Arial" w:hAnsi="Arial" w:cs="Arial"/>
          <w:b/>
          <w:bCs/>
          <w:sz w:val="22"/>
          <w:szCs w:val="22"/>
        </w:rPr>
        <w:t> </w:t>
      </w:r>
      <w:r w:rsidRPr="001D61C7">
        <w:rPr>
          <w:rFonts w:ascii="Arial" w:hAnsi="Arial" w:cs="Arial"/>
          <w:b/>
          <w:bCs/>
          <w:sz w:val="22"/>
          <w:szCs w:val="22"/>
        </w:rPr>
        <w:t>odolnosti</w:t>
      </w:r>
      <w:r>
        <w:rPr>
          <w:rFonts w:ascii="Arial" w:hAnsi="Arial" w:cs="Arial"/>
          <w:b/>
          <w:bCs/>
          <w:sz w:val="22"/>
          <w:szCs w:val="22"/>
        </w:rPr>
        <w:br/>
      </w:r>
      <w:r w:rsidRPr="001D61C7">
        <w:rPr>
          <w:rFonts w:ascii="Arial" w:hAnsi="Arial" w:cs="Arial"/>
          <w:sz w:val="22"/>
          <w:szCs w:val="22"/>
        </w:rPr>
        <w:t>Změnit se bude muset také způsob investování. Vedle nových hotelů, turistických atrakcí nebo návštěvnických center budou destinace stále častěji investovat do opatření, která na první pohled s cestovním ruchem přímo nesouvisejí.</w:t>
      </w:r>
    </w:p>
    <w:p w14:paraId="080F3CBE" w14:textId="5FF1136F" w:rsidR="001D61C7" w:rsidRPr="001D61C7" w:rsidRDefault="001D61C7" w:rsidP="001D61C7">
      <w:pPr>
        <w:rPr>
          <w:rFonts w:ascii="Arial" w:hAnsi="Arial" w:cs="Arial"/>
          <w:sz w:val="22"/>
          <w:szCs w:val="22"/>
        </w:rPr>
      </w:pPr>
      <w:r w:rsidRPr="001D61C7">
        <w:rPr>
          <w:rFonts w:ascii="Arial" w:hAnsi="Arial" w:cs="Arial"/>
          <w:sz w:val="22"/>
          <w:szCs w:val="22"/>
        </w:rPr>
        <w:t>Půjde například o lepší hospodaření s vodou v obdobích sucha, protipožární ochranu, stabilizaci svahů ohrožených sesuvy, protipovodňová opatření nebo modernizaci dopravní infrastruktury. Významnou roli budou hrát také digitální technologie, které umožní sledovat vývoj počasí, riziko požárů nebo vytížení dopravní sítě v reálném čase a včas přijímat preventivní opatření.</w:t>
      </w:r>
      <w:r>
        <w:rPr>
          <w:rFonts w:ascii="Arial" w:hAnsi="Arial" w:cs="Arial"/>
          <w:sz w:val="22"/>
          <w:szCs w:val="22"/>
        </w:rPr>
        <w:t xml:space="preserve"> </w:t>
      </w:r>
      <w:r w:rsidRPr="001D61C7">
        <w:rPr>
          <w:rFonts w:ascii="Arial" w:hAnsi="Arial" w:cs="Arial"/>
          <w:sz w:val="22"/>
          <w:szCs w:val="22"/>
        </w:rPr>
        <w:t xml:space="preserve">Podle </w:t>
      </w:r>
      <w:proofErr w:type="spellStart"/>
      <w:r w:rsidR="003871ED">
        <w:rPr>
          <w:rFonts w:ascii="Arial" w:hAnsi="Arial" w:cs="Arial"/>
          <w:sz w:val="22"/>
          <w:szCs w:val="22"/>
        </w:rPr>
        <w:t>studei</w:t>
      </w:r>
      <w:proofErr w:type="spellEnd"/>
      <w:r w:rsidRPr="001D61C7">
        <w:rPr>
          <w:rFonts w:ascii="Arial" w:hAnsi="Arial" w:cs="Arial"/>
          <w:sz w:val="22"/>
          <w:szCs w:val="22"/>
        </w:rPr>
        <w:t xml:space="preserve"> právě propojení dat, moderních technologií a krizového řízení umožní destinacím zvládat mimořádné situace s menšími dopady na návštěvníky i místní obyvatele.</w:t>
      </w:r>
    </w:p>
    <w:p w14:paraId="6C85FC2E" w14:textId="0E6B831A" w:rsidR="001D61C7" w:rsidRPr="001B0F75" w:rsidRDefault="001D61C7" w:rsidP="001D61C7">
      <w:pPr>
        <w:rPr>
          <w:rFonts w:ascii="Arial" w:hAnsi="Arial" w:cs="Arial"/>
          <w:b/>
          <w:bCs/>
          <w:sz w:val="22"/>
          <w:szCs w:val="22"/>
        </w:rPr>
      </w:pPr>
      <w:r w:rsidRPr="001D61C7">
        <w:rPr>
          <w:rFonts w:ascii="Arial" w:hAnsi="Arial" w:cs="Arial"/>
          <w:b/>
          <w:bCs/>
          <w:sz w:val="22"/>
          <w:szCs w:val="22"/>
        </w:rPr>
        <w:t>Novou konkurenční výhodou bude připravenost</w:t>
      </w:r>
      <w:r w:rsidR="001B0F75">
        <w:rPr>
          <w:rFonts w:ascii="Arial" w:hAnsi="Arial" w:cs="Arial"/>
          <w:b/>
          <w:bCs/>
          <w:sz w:val="22"/>
          <w:szCs w:val="22"/>
        </w:rPr>
        <w:br/>
      </w:r>
      <w:r w:rsidRPr="001D61C7">
        <w:rPr>
          <w:rFonts w:ascii="Arial" w:hAnsi="Arial" w:cs="Arial"/>
          <w:sz w:val="22"/>
          <w:szCs w:val="22"/>
        </w:rPr>
        <w:t>Dlouhá léta mezi sebou turistické destinace soutěžily především počtem návštěvníků, novými atrakcemi nebo rozsahem ubytovacích kapacit. V příštích letech ale bude stále větší roli hrát také jejich schopnost zvládat klimatická rizika.</w:t>
      </w:r>
    </w:p>
    <w:p w14:paraId="32480CC2" w14:textId="77777777" w:rsidR="001B0F75" w:rsidRDefault="001B0F75" w:rsidP="001B0F75">
      <w:pPr>
        <w:rPr>
          <w:rFonts w:ascii="Arial" w:hAnsi="Arial" w:cs="Arial"/>
          <w:sz w:val="22"/>
          <w:szCs w:val="22"/>
        </w:rPr>
      </w:pPr>
      <w:r>
        <w:rPr>
          <w:rFonts w:ascii="Arial" w:hAnsi="Arial" w:cs="Arial"/>
          <w:sz w:val="22"/>
          <w:szCs w:val="22"/>
        </w:rPr>
        <w:lastRenderedPageBreak/>
        <w:t>„</w:t>
      </w:r>
      <w:r w:rsidR="001D61C7" w:rsidRPr="001D61C7">
        <w:rPr>
          <w:rFonts w:ascii="Arial" w:hAnsi="Arial" w:cs="Arial"/>
          <w:sz w:val="22"/>
          <w:szCs w:val="22"/>
        </w:rPr>
        <w:t>Návštěvníci budou očekávat, že destinace dokáže zajistit bezpečný provoz i během mimořádných situací, rychle poskytne potřebné informace a nabídne alternativní řešení, pokud dojde k omezení dopravy, uzavření turistických tras nebo změně programu. Schopnost zvládat krizové situace se tak může stát jedním z faktorů, který bude ovlivňovat důvěru turistů i dlouhodobou konkurenceschopnost jednotlivých regionů</w:t>
      </w:r>
      <w:r>
        <w:rPr>
          <w:rFonts w:ascii="Arial" w:hAnsi="Arial" w:cs="Arial"/>
          <w:sz w:val="22"/>
          <w:szCs w:val="22"/>
        </w:rPr>
        <w:t xml:space="preserve">,“ říká Martin </w:t>
      </w:r>
      <w:proofErr w:type="spellStart"/>
      <w:r>
        <w:rPr>
          <w:rFonts w:ascii="Arial" w:hAnsi="Arial" w:cs="Arial"/>
          <w:sz w:val="22"/>
          <w:szCs w:val="22"/>
        </w:rPr>
        <w:t>Venglář</w:t>
      </w:r>
      <w:proofErr w:type="spellEnd"/>
      <w:r>
        <w:rPr>
          <w:rFonts w:ascii="Arial" w:hAnsi="Arial" w:cs="Arial"/>
          <w:sz w:val="22"/>
          <w:szCs w:val="22"/>
        </w:rPr>
        <w:t xml:space="preserve"> z </w:t>
      </w:r>
      <w:proofErr w:type="spellStart"/>
      <w:r>
        <w:rPr>
          <w:rFonts w:ascii="Arial" w:hAnsi="Arial" w:cs="Arial"/>
          <w:sz w:val="22"/>
          <w:szCs w:val="22"/>
        </w:rPr>
        <w:t>Nomce</w:t>
      </w:r>
      <w:proofErr w:type="spellEnd"/>
      <w:r>
        <w:rPr>
          <w:rFonts w:ascii="Arial" w:hAnsi="Arial" w:cs="Arial"/>
          <w:sz w:val="22"/>
          <w:szCs w:val="22"/>
        </w:rPr>
        <w:t>.</w:t>
      </w:r>
    </w:p>
    <w:p w14:paraId="4E899AD5" w14:textId="6117583A" w:rsidR="001D61C7" w:rsidRPr="001B0F75" w:rsidRDefault="001D61C7" w:rsidP="001D61C7">
      <w:pPr>
        <w:rPr>
          <w:rFonts w:ascii="Arial" w:hAnsi="Arial" w:cs="Arial"/>
          <w:b/>
          <w:bCs/>
          <w:sz w:val="22"/>
          <w:szCs w:val="22"/>
        </w:rPr>
      </w:pPr>
      <w:r w:rsidRPr="001B0F75">
        <w:rPr>
          <w:rFonts w:ascii="Arial" w:hAnsi="Arial" w:cs="Arial"/>
          <w:b/>
          <w:bCs/>
          <w:sz w:val="22"/>
          <w:szCs w:val="22"/>
        </w:rPr>
        <w:t>Nejde o jednu mimořádnou sezonu</w:t>
      </w:r>
      <w:r w:rsidR="001B0F75">
        <w:rPr>
          <w:rFonts w:ascii="Arial" w:hAnsi="Arial" w:cs="Arial"/>
          <w:b/>
          <w:bCs/>
          <w:sz w:val="22"/>
          <w:szCs w:val="22"/>
        </w:rPr>
        <w:br/>
      </w:r>
      <w:r w:rsidRPr="001D61C7">
        <w:rPr>
          <w:rFonts w:ascii="Arial" w:hAnsi="Arial" w:cs="Arial"/>
          <w:sz w:val="22"/>
          <w:szCs w:val="22"/>
        </w:rPr>
        <w:t>OECD současně upozorňuje, že nejde o reakci na jednu horkou sezonu nebo několik izolovaných přírodních katastrof. Klimatické změny představují dlouhodobý trend, který bude ovlivňovat fungování cestovního ruchu v celé Evropě i dalších částech světa. Destinace proto budou muset přejít od řešení jednotlivých krizí k systematickému řízení klimatických rizik.</w:t>
      </w:r>
    </w:p>
    <w:p w14:paraId="2F8DF6EE" w14:textId="5B91F77B" w:rsidR="001D61C7" w:rsidRDefault="001D61C7" w:rsidP="001D61C7">
      <w:pPr>
        <w:rPr>
          <w:rFonts w:ascii="Arial" w:hAnsi="Arial" w:cs="Arial"/>
          <w:sz w:val="22"/>
          <w:szCs w:val="22"/>
        </w:rPr>
      </w:pPr>
      <w:r w:rsidRPr="001D61C7">
        <w:rPr>
          <w:rFonts w:ascii="Arial" w:hAnsi="Arial" w:cs="Arial"/>
          <w:sz w:val="22"/>
          <w:szCs w:val="22"/>
        </w:rPr>
        <w:t xml:space="preserve">Stejně jako je dnes samozřejmostí plánování rozvoje dopravy, ubytovacích kapacit nebo turistických služeb, bude se stále běžnější součástí strategického řízení stávat také příprava na extrémní počasí. Právě schopnost spojit rozvoj cestovního ruchu s dlouhodobou klimatickou odolností může podle </w:t>
      </w:r>
      <w:r w:rsidR="001B0F75">
        <w:rPr>
          <w:rFonts w:ascii="Arial" w:hAnsi="Arial" w:cs="Arial"/>
          <w:sz w:val="22"/>
          <w:szCs w:val="22"/>
        </w:rPr>
        <w:t>studie</w:t>
      </w:r>
      <w:r w:rsidRPr="001D61C7">
        <w:rPr>
          <w:rFonts w:ascii="Arial" w:hAnsi="Arial" w:cs="Arial"/>
          <w:sz w:val="22"/>
          <w:szCs w:val="22"/>
        </w:rPr>
        <w:t xml:space="preserve"> rozhodnout o tom, které destinace budou v příštích desetiletích patřit mezi nejúspěšnější.</w:t>
      </w:r>
    </w:p>
    <w:p w14:paraId="7315CCF9" w14:textId="77777777" w:rsidR="001D61C7" w:rsidRPr="001D61C7" w:rsidRDefault="001D61C7" w:rsidP="001D61C7">
      <w:pPr>
        <w:rPr>
          <w:rFonts w:ascii="Arial" w:hAnsi="Arial" w:cs="Arial"/>
          <w:b/>
          <w:bCs/>
          <w:sz w:val="22"/>
          <w:szCs w:val="22"/>
        </w:rPr>
      </w:pPr>
    </w:p>
    <w:bookmarkEnd w:id="0"/>
    <w:p w14:paraId="492F153A" w14:textId="0E800996" w:rsidR="003C273E" w:rsidRPr="001D61C7" w:rsidRDefault="003C273E" w:rsidP="00A147A9">
      <w:pPr>
        <w:rPr>
          <w:rFonts w:ascii="Arial" w:hAnsi="Arial" w:cs="Arial"/>
          <w:sz w:val="22"/>
          <w:szCs w:val="22"/>
        </w:rPr>
      </w:pPr>
    </w:p>
    <w:sectPr w:rsidR="003C273E" w:rsidRPr="001D61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5"/>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A"/>
    <w:rsid w:val="0000636D"/>
    <w:rsid w:val="00056C4F"/>
    <w:rsid w:val="000633A3"/>
    <w:rsid w:val="00075CE2"/>
    <w:rsid w:val="000D601E"/>
    <w:rsid w:val="000D62BC"/>
    <w:rsid w:val="000F76CE"/>
    <w:rsid w:val="0015318E"/>
    <w:rsid w:val="001942C4"/>
    <w:rsid w:val="001B0F75"/>
    <w:rsid w:val="001B201D"/>
    <w:rsid w:val="001D61C7"/>
    <w:rsid w:val="00215DFB"/>
    <w:rsid w:val="00294E32"/>
    <w:rsid w:val="002A3CF7"/>
    <w:rsid w:val="002A6C0C"/>
    <w:rsid w:val="002D6143"/>
    <w:rsid w:val="00330A9F"/>
    <w:rsid w:val="00335405"/>
    <w:rsid w:val="00336C7E"/>
    <w:rsid w:val="003871ED"/>
    <w:rsid w:val="00387802"/>
    <w:rsid w:val="003C273E"/>
    <w:rsid w:val="003E3B17"/>
    <w:rsid w:val="003F2F5B"/>
    <w:rsid w:val="004360A1"/>
    <w:rsid w:val="0044602C"/>
    <w:rsid w:val="00451E7C"/>
    <w:rsid w:val="00464AC1"/>
    <w:rsid w:val="00483DCB"/>
    <w:rsid w:val="004A6269"/>
    <w:rsid w:val="004C06F5"/>
    <w:rsid w:val="004D2A9C"/>
    <w:rsid w:val="00521439"/>
    <w:rsid w:val="0052716A"/>
    <w:rsid w:val="005924C4"/>
    <w:rsid w:val="005D1A17"/>
    <w:rsid w:val="006108D9"/>
    <w:rsid w:val="006479F0"/>
    <w:rsid w:val="00660D6E"/>
    <w:rsid w:val="00674076"/>
    <w:rsid w:val="00682769"/>
    <w:rsid w:val="006D0271"/>
    <w:rsid w:val="007260EA"/>
    <w:rsid w:val="00756217"/>
    <w:rsid w:val="0079219B"/>
    <w:rsid w:val="00792BE5"/>
    <w:rsid w:val="007A37C3"/>
    <w:rsid w:val="007B0A67"/>
    <w:rsid w:val="007F34A9"/>
    <w:rsid w:val="00825070"/>
    <w:rsid w:val="0083724A"/>
    <w:rsid w:val="00854936"/>
    <w:rsid w:val="008902A8"/>
    <w:rsid w:val="009132F6"/>
    <w:rsid w:val="00A02A95"/>
    <w:rsid w:val="00A147A9"/>
    <w:rsid w:val="00A14B1B"/>
    <w:rsid w:val="00A31EF7"/>
    <w:rsid w:val="00A818B6"/>
    <w:rsid w:val="00BE2196"/>
    <w:rsid w:val="00BE61B5"/>
    <w:rsid w:val="00C902DB"/>
    <w:rsid w:val="00CA316F"/>
    <w:rsid w:val="00CB03FD"/>
    <w:rsid w:val="00CB5095"/>
    <w:rsid w:val="00CC0BFC"/>
    <w:rsid w:val="00CC46CD"/>
    <w:rsid w:val="00CC52D9"/>
    <w:rsid w:val="00D32844"/>
    <w:rsid w:val="00D33D36"/>
    <w:rsid w:val="00D46141"/>
    <w:rsid w:val="00D6639D"/>
    <w:rsid w:val="00D9015E"/>
    <w:rsid w:val="00DC29CF"/>
    <w:rsid w:val="00DF31C4"/>
    <w:rsid w:val="00E24BCA"/>
    <w:rsid w:val="00E62BBF"/>
    <w:rsid w:val="00ED303E"/>
    <w:rsid w:val="00EF03E9"/>
    <w:rsid w:val="00F03267"/>
    <w:rsid w:val="00F441BF"/>
    <w:rsid w:val="00FD137B"/>
    <w:rsid w:val="00FE657E"/>
    <w:rsid w:val="00FE6B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6E2F2"/>
  <w15:chartTrackingRefBased/>
  <w15:docId w15:val="{C0905D51-1524-4413-87FB-4B6584DE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8372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8372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83724A"/>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83724A"/>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83724A"/>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83724A"/>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83724A"/>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83724A"/>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83724A"/>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83724A"/>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83724A"/>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83724A"/>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83724A"/>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83724A"/>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83724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83724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83724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83724A"/>
    <w:rPr>
      <w:rFonts w:eastAsiaTheme="majorEastAsia" w:cstheme="majorBidi"/>
      <w:color w:val="272727" w:themeColor="text1" w:themeTint="D8"/>
    </w:rPr>
  </w:style>
  <w:style w:type="paragraph" w:styleId="Nzev">
    <w:name w:val="Title"/>
    <w:basedOn w:val="Normln"/>
    <w:next w:val="Normln"/>
    <w:link w:val="NzevChar"/>
    <w:uiPriority w:val="10"/>
    <w:qFormat/>
    <w:rsid w:val="008372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83724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83724A"/>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83724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83724A"/>
    <w:pPr>
      <w:spacing w:before="160"/>
      <w:jc w:val="center"/>
    </w:pPr>
    <w:rPr>
      <w:i/>
      <w:iCs/>
      <w:color w:val="404040" w:themeColor="text1" w:themeTint="BF"/>
    </w:rPr>
  </w:style>
  <w:style w:type="character" w:customStyle="1" w:styleId="CittChar">
    <w:name w:val="Citát Char"/>
    <w:basedOn w:val="Standardnpsmoodstavce"/>
    <w:link w:val="Citt"/>
    <w:uiPriority w:val="29"/>
    <w:rsid w:val="0083724A"/>
    <w:rPr>
      <w:i/>
      <w:iCs/>
      <w:color w:val="404040" w:themeColor="text1" w:themeTint="BF"/>
    </w:rPr>
  </w:style>
  <w:style w:type="paragraph" w:styleId="Odstavecseseznamem">
    <w:name w:val="List Paragraph"/>
    <w:basedOn w:val="Normln"/>
    <w:uiPriority w:val="34"/>
    <w:qFormat/>
    <w:rsid w:val="0083724A"/>
    <w:pPr>
      <w:ind w:left="720"/>
      <w:contextualSpacing/>
    </w:pPr>
  </w:style>
  <w:style w:type="character" w:styleId="Zdraznnintenzivn">
    <w:name w:val="Intense Emphasis"/>
    <w:basedOn w:val="Standardnpsmoodstavce"/>
    <w:uiPriority w:val="21"/>
    <w:qFormat/>
    <w:rsid w:val="0083724A"/>
    <w:rPr>
      <w:i/>
      <w:iCs/>
      <w:color w:val="2F5496" w:themeColor="accent1" w:themeShade="BF"/>
    </w:rPr>
  </w:style>
  <w:style w:type="paragraph" w:styleId="Vrazncitt">
    <w:name w:val="Intense Quote"/>
    <w:basedOn w:val="Normln"/>
    <w:next w:val="Normln"/>
    <w:link w:val="VrazncittChar"/>
    <w:uiPriority w:val="30"/>
    <w:qFormat/>
    <w:rsid w:val="008372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83724A"/>
    <w:rPr>
      <w:i/>
      <w:iCs/>
      <w:color w:val="2F5496" w:themeColor="accent1" w:themeShade="BF"/>
    </w:rPr>
  </w:style>
  <w:style w:type="character" w:styleId="Odkazintenzivn">
    <w:name w:val="Intense Reference"/>
    <w:basedOn w:val="Standardnpsmoodstavce"/>
    <w:uiPriority w:val="32"/>
    <w:qFormat/>
    <w:rsid w:val="0083724A"/>
    <w:rPr>
      <w:b/>
      <w:bCs/>
      <w:smallCaps/>
      <w:color w:val="2F5496" w:themeColor="accent1" w:themeShade="BF"/>
      <w:spacing w:val="5"/>
    </w:rPr>
  </w:style>
  <w:style w:type="character" w:styleId="Hypertextovodkaz">
    <w:name w:val="Hyperlink"/>
    <w:basedOn w:val="Standardnpsmoodstavce"/>
    <w:uiPriority w:val="99"/>
    <w:unhideWhenUsed/>
    <w:rsid w:val="00335405"/>
    <w:rPr>
      <w:color w:val="0563C1" w:themeColor="hyperlink"/>
      <w:u w:val="single"/>
    </w:rPr>
  </w:style>
  <w:style w:type="character" w:styleId="Nevyeenzmnka">
    <w:name w:val="Unresolved Mention"/>
    <w:basedOn w:val="Standardnpsmoodstavce"/>
    <w:uiPriority w:val="99"/>
    <w:semiHidden/>
    <w:unhideWhenUsed/>
    <w:rsid w:val="00335405"/>
    <w:rPr>
      <w:color w:val="605E5C"/>
      <w:shd w:val="clear" w:color="auto" w:fill="E1DFDD"/>
    </w:rPr>
  </w:style>
  <w:style w:type="paragraph" w:styleId="Revize">
    <w:name w:val="Revision"/>
    <w:hidden/>
    <w:uiPriority w:val="99"/>
    <w:semiHidden/>
    <w:rsid w:val="000633A3"/>
    <w:pPr>
      <w:spacing w:after="0" w:line="240" w:lineRule="auto"/>
    </w:pPr>
  </w:style>
  <w:style w:type="character" w:styleId="Sledovanodkaz">
    <w:name w:val="FollowedHyperlink"/>
    <w:basedOn w:val="Standardnpsmoodstavce"/>
    <w:uiPriority w:val="99"/>
    <w:semiHidden/>
    <w:unhideWhenUsed/>
    <w:rsid w:val="00BE21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ecd.org/en/publications/oecd-tourism-trends-and-policies-2026_3fd3cd75-en.html?utm_source=chatgpt.com"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585</Words>
  <Characters>3792</Characters>
  <Application>Microsoft Office Word</Application>
  <DocSecurity>0</DocSecurity>
  <Lines>62</Lines>
  <Paragraphs>13</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4364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Michal Hoblík</cp:lastModifiedBy>
  <cp:revision>10</cp:revision>
  <dcterms:created xsi:type="dcterms:W3CDTF">2026-08-04T04:20:00Z</dcterms:created>
  <dcterms:modified xsi:type="dcterms:W3CDTF">2026-08-06T05:21:00Z</dcterms:modified>
  <cp:category/>
</cp:coreProperties>
</file>