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A0AEF" w14:textId="16099AF7" w:rsidR="00A67471" w:rsidRPr="00DA7B32" w:rsidRDefault="00A67471" w:rsidP="00DA7B32">
      <w:pPr>
        <w:pBdr>
          <w:top w:val="nil"/>
          <w:left w:val="nil"/>
          <w:bottom w:val="nil"/>
          <w:right w:val="nil"/>
          <w:between w:val="nil"/>
        </w:pBdr>
        <w:rPr>
          <w:rFonts w:asciiTheme="majorHAnsi" w:eastAsia="Calibri" w:hAnsiTheme="majorHAnsi" w:cstheme="majorHAnsi"/>
          <w:b/>
          <w:color w:val="1D4090"/>
          <w:sz w:val="24"/>
          <w:szCs w:val="24"/>
        </w:rPr>
      </w:pPr>
      <w:r w:rsidRPr="00DA7B32">
        <w:rPr>
          <w:rFonts w:asciiTheme="majorHAnsi" w:eastAsia="Calibri" w:hAnsiTheme="majorHAnsi" w:cstheme="majorHAnsi"/>
          <w:b/>
          <w:color w:val="1D4090"/>
          <w:sz w:val="24"/>
          <w:szCs w:val="24"/>
        </w:rPr>
        <w:t>Plán legislativy strop důchodového věku na 65 letech nezmiňuje</w:t>
      </w:r>
    </w:p>
    <w:p w14:paraId="700C8110" w14:textId="77777777" w:rsidR="00A67471" w:rsidRPr="00DA7B32" w:rsidRDefault="00A67471" w:rsidP="00B01DF7">
      <w:pPr>
        <w:pBdr>
          <w:top w:val="nil"/>
          <w:left w:val="nil"/>
          <w:bottom w:val="nil"/>
          <w:right w:val="nil"/>
          <w:between w:val="nil"/>
        </w:pBdr>
        <w:jc w:val="center"/>
        <w:rPr>
          <w:rFonts w:asciiTheme="majorHAnsi" w:eastAsia="Calibri" w:hAnsiTheme="majorHAnsi" w:cstheme="majorHAnsi"/>
          <w:b/>
          <w:color w:val="1D4090"/>
          <w:sz w:val="24"/>
          <w:szCs w:val="24"/>
        </w:rPr>
      </w:pPr>
    </w:p>
    <w:p w14:paraId="713ED141" w14:textId="54B8C73A" w:rsidR="00A67471" w:rsidRPr="00DA7B32" w:rsidRDefault="00DA7B32" w:rsidP="00DA7B32">
      <w:pPr>
        <w:pBdr>
          <w:top w:val="nil"/>
          <w:left w:val="nil"/>
          <w:bottom w:val="nil"/>
          <w:right w:val="nil"/>
          <w:between w:val="nil"/>
        </w:pBdr>
        <w:rPr>
          <w:rFonts w:asciiTheme="majorHAnsi" w:eastAsia="Calibri" w:hAnsiTheme="majorHAnsi" w:cstheme="majorHAnsi"/>
          <w:b/>
          <w:color w:val="1D4090"/>
          <w:sz w:val="24"/>
          <w:szCs w:val="24"/>
        </w:rPr>
      </w:pPr>
      <w:r w:rsidRPr="00DA7B32">
        <w:rPr>
          <w:rFonts w:asciiTheme="majorHAnsi" w:eastAsia="Calibri" w:hAnsiTheme="majorHAnsi" w:cstheme="majorHAnsi"/>
          <w:b/>
          <w:color w:val="1D4090"/>
          <w:sz w:val="24"/>
          <w:szCs w:val="24"/>
        </w:rPr>
        <w:t>Strop důchodového věku nic neřeší. Klíč je jinde</w:t>
      </w:r>
      <w:r w:rsidR="00B7318D" w:rsidRPr="00DA7B32">
        <w:rPr>
          <w:rFonts w:asciiTheme="majorHAnsi" w:eastAsia="Calibri" w:hAnsiTheme="majorHAnsi" w:cstheme="majorHAnsi"/>
          <w:b/>
          <w:color w:val="1D4090"/>
          <w:sz w:val="24"/>
          <w:szCs w:val="24"/>
        </w:rPr>
        <w:t>, říká Michal Španěl z JenPráce.cz</w:t>
      </w:r>
    </w:p>
    <w:p w14:paraId="115B4639" w14:textId="31930BF7" w:rsidR="0010368D" w:rsidRPr="00B01DF7" w:rsidRDefault="00B01DF7" w:rsidP="00B01DF7">
      <w:pPr>
        <w:pBdr>
          <w:top w:val="nil"/>
          <w:left w:val="nil"/>
          <w:bottom w:val="nil"/>
          <w:right w:val="nil"/>
          <w:between w:val="nil"/>
        </w:pBdr>
        <w:jc w:val="center"/>
        <w:rPr>
          <w:rFonts w:asciiTheme="majorHAnsi" w:eastAsia="Calibri" w:hAnsiTheme="majorHAnsi" w:cstheme="majorHAnsi"/>
          <w:b/>
          <w:color w:val="1D4090"/>
          <w:sz w:val="28"/>
          <w:szCs w:val="28"/>
        </w:rPr>
      </w:pPr>
      <w:r>
        <w:rPr>
          <w:rFonts w:asciiTheme="majorHAnsi" w:eastAsia="Calibri" w:hAnsiTheme="majorHAnsi" w:cstheme="majorHAnsi"/>
          <w:b/>
          <w:color w:val="1D4090"/>
          <w:sz w:val="28"/>
          <w:szCs w:val="28"/>
        </w:rPr>
        <w:br/>
      </w:r>
    </w:p>
    <w:p w14:paraId="29B9E0EE" w14:textId="7142695B" w:rsidR="00A67471" w:rsidRPr="00DA7B32" w:rsidRDefault="00A67471">
      <w:pPr>
        <w:rPr>
          <w:rFonts w:asciiTheme="majorHAnsi" w:eastAsia="Calibri" w:hAnsiTheme="majorHAnsi" w:cstheme="majorHAnsi"/>
          <w:b/>
          <w:bCs/>
          <w:color w:val="242E59"/>
        </w:rPr>
      </w:pPr>
      <w:r w:rsidRPr="00DA7B32">
        <w:rPr>
          <w:rFonts w:asciiTheme="majorHAnsi" w:eastAsia="Calibri" w:hAnsiTheme="majorHAnsi" w:cstheme="majorHAnsi"/>
          <w:b/>
          <w:bCs/>
          <w:color w:val="242E59"/>
        </w:rPr>
        <w:t xml:space="preserve">Vláda počítá od příštího roku s návratem k vyššímu výpočtu růstu důchodů, navyšováním penze každých pět let po osmdesátce a zvyšováním důchodu za takzvané přesluhování. Od roku 2028 chce upravit pravidla dřívějších penzí pro náročné profese. Vyplývá to z legislativního plánu, který dnes kabinet schválil. Z přijatého textu vypadly u důchodové novely zmínky o </w:t>
      </w:r>
      <w:proofErr w:type="spellStart"/>
      <w:r w:rsidRPr="00DA7B32">
        <w:rPr>
          <w:rFonts w:asciiTheme="majorHAnsi" w:eastAsia="Calibri" w:hAnsiTheme="majorHAnsi" w:cstheme="majorHAnsi"/>
          <w:b/>
          <w:bCs/>
          <w:color w:val="242E59"/>
        </w:rPr>
        <w:t>zastropování</w:t>
      </w:r>
      <w:proofErr w:type="spellEnd"/>
      <w:r w:rsidRPr="00DA7B32">
        <w:rPr>
          <w:rFonts w:asciiTheme="majorHAnsi" w:eastAsia="Calibri" w:hAnsiTheme="majorHAnsi" w:cstheme="majorHAnsi"/>
          <w:b/>
          <w:bCs/>
          <w:color w:val="242E59"/>
        </w:rPr>
        <w:t xml:space="preserve"> důchodového věku na 65 letech i o valorizaci výchovného a předčasných důchodů, které v návrhu původně byly.</w:t>
      </w:r>
    </w:p>
    <w:p w14:paraId="025180D4" w14:textId="77777777" w:rsidR="00B7318D" w:rsidRPr="00DA7B32" w:rsidRDefault="00B7318D">
      <w:pPr>
        <w:rPr>
          <w:rFonts w:asciiTheme="majorHAnsi" w:eastAsia="Calibri" w:hAnsiTheme="majorHAnsi" w:cstheme="majorHAnsi"/>
          <w:b/>
          <w:bCs/>
          <w:color w:val="242E59"/>
        </w:rPr>
      </w:pPr>
    </w:p>
    <w:p w14:paraId="449F18D7" w14:textId="064A017D" w:rsidR="00A67471" w:rsidRPr="00DA7B32" w:rsidRDefault="00DA7B32" w:rsidP="00A67471">
      <w:pPr>
        <w:rPr>
          <w:rFonts w:asciiTheme="majorHAnsi" w:eastAsia="Calibri" w:hAnsiTheme="majorHAnsi" w:cstheme="majorHAnsi"/>
          <w:color w:val="242E59"/>
        </w:rPr>
      </w:pPr>
      <w:r w:rsidRPr="00DA7B32">
        <w:rPr>
          <w:rFonts w:asciiTheme="majorHAnsi" w:eastAsia="Calibri" w:hAnsiTheme="majorHAnsi" w:cstheme="majorHAnsi"/>
          <w:color w:val="242E59"/>
        </w:rPr>
        <w:t>P</w:t>
      </w:r>
      <w:r w:rsidR="00A67471" w:rsidRPr="00DA7B32">
        <w:rPr>
          <w:rFonts w:asciiTheme="majorHAnsi" w:eastAsia="Calibri" w:hAnsiTheme="majorHAnsi" w:cstheme="majorHAnsi"/>
          <w:color w:val="242E59"/>
        </w:rPr>
        <w:t>rvní důchodovou novelu má ministerstvo práce předložit v dubnu. Platit má od ledna příštího roku. Počítá znovu s valorizací o polovinu růstu reálných mezd místo třetiny, na kterou ji snížila kvůli omezení schodků důchodového systému minulá vláda.</w:t>
      </w:r>
      <w:r>
        <w:rPr>
          <w:rFonts w:asciiTheme="majorHAnsi" w:eastAsia="Calibri" w:hAnsiTheme="majorHAnsi" w:cstheme="majorHAnsi"/>
          <w:color w:val="242E59"/>
        </w:rPr>
        <w:t xml:space="preserve"> </w:t>
      </w:r>
      <w:r w:rsidR="00A67471" w:rsidRPr="00DA7B32">
        <w:rPr>
          <w:rFonts w:asciiTheme="majorHAnsi" w:eastAsia="Calibri" w:hAnsiTheme="majorHAnsi" w:cstheme="majorHAnsi"/>
          <w:color w:val="242E59"/>
        </w:rPr>
        <w:t xml:space="preserve">"Účelem je zmírnit zaostávání vývoje životní úrovně důchodců za vývojem životní úrovně zaměstnanců zvýšením zápočtu růstu reálné mzdy pro stanovení výše valorizace důchodů a posílení příjmové úrovně důchodců ve vyšším věku rozšířením takzvaných věkových valorizací," stojí v legislativním plánu. Po osmdesátce by se tak důchod měl zvedat každých pět let. Podle dřívějších informací by to mohlo být o 500 korun. Teď sociální správa přidává 1000 korun lidem v 85 letech a 2000 korun ke stým </w:t>
      </w:r>
      <w:proofErr w:type="spellStart"/>
      <w:proofErr w:type="gramStart"/>
      <w:r w:rsidR="00A67471" w:rsidRPr="00DA7B32">
        <w:rPr>
          <w:rFonts w:asciiTheme="majorHAnsi" w:eastAsia="Calibri" w:hAnsiTheme="majorHAnsi" w:cstheme="majorHAnsi"/>
          <w:color w:val="242E59"/>
        </w:rPr>
        <w:t>narozeninám.Podle</w:t>
      </w:r>
      <w:proofErr w:type="spellEnd"/>
      <w:proofErr w:type="gramEnd"/>
      <w:r w:rsidR="00A67471" w:rsidRPr="00DA7B32">
        <w:rPr>
          <w:rFonts w:asciiTheme="majorHAnsi" w:eastAsia="Calibri" w:hAnsiTheme="majorHAnsi" w:cstheme="majorHAnsi"/>
          <w:color w:val="242E59"/>
        </w:rPr>
        <w:t xml:space="preserve"> schváleného plánu by důchodová novela měla také "posílit příjmovou úroveň" pracujících důchodců. Za odpracovaný čas navíc by se jim měl zvýšit důchod.</w:t>
      </w:r>
    </w:p>
    <w:p w14:paraId="2688B63D" w14:textId="77777777" w:rsidR="00A67471" w:rsidRPr="00DA7B32" w:rsidRDefault="00A67471" w:rsidP="00A67471">
      <w:pPr>
        <w:rPr>
          <w:rFonts w:asciiTheme="majorHAnsi" w:eastAsia="Calibri" w:hAnsiTheme="majorHAnsi" w:cstheme="majorHAnsi"/>
          <w:color w:val="242E59"/>
        </w:rPr>
      </w:pPr>
    </w:p>
    <w:p w14:paraId="65C41C99" w14:textId="77777777" w:rsidR="00A67471" w:rsidRPr="00DA7B32" w:rsidRDefault="00A67471" w:rsidP="00A67471">
      <w:pPr>
        <w:rPr>
          <w:rFonts w:asciiTheme="majorHAnsi" w:eastAsia="Calibri" w:hAnsiTheme="majorHAnsi" w:cstheme="majorHAnsi"/>
          <w:color w:val="242E59"/>
        </w:rPr>
      </w:pPr>
      <w:r w:rsidRPr="00DA7B32">
        <w:rPr>
          <w:rFonts w:asciiTheme="majorHAnsi" w:eastAsia="Calibri" w:hAnsiTheme="majorHAnsi" w:cstheme="majorHAnsi"/>
          <w:color w:val="242E59"/>
        </w:rPr>
        <w:t xml:space="preserve">Vláda začala legislativní plán projednávat před měsícem. Jednání přerušila. Proti původnímu návrhu u první důchodové novely vypadlo </w:t>
      </w:r>
      <w:proofErr w:type="spellStart"/>
      <w:r w:rsidRPr="00DA7B32">
        <w:rPr>
          <w:rFonts w:asciiTheme="majorHAnsi" w:eastAsia="Calibri" w:hAnsiTheme="majorHAnsi" w:cstheme="majorHAnsi"/>
          <w:color w:val="242E59"/>
        </w:rPr>
        <w:t>zastropování</w:t>
      </w:r>
      <w:proofErr w:type="spellEnd"/>
      <w:r w:rsidRPr="00DA7B32">
        <w:rPr>
          <w:rFonts w:asciiTheme="majorHAnsi" w:eastAsia="Calibri" w:hAnsiTheme="majorHAnsi" w:cstheme="majorHAnsi"/>
          <w:color w:val="242E59"/>
        </w:rPr>
        <w:t xml:space="preserve"> důchodového věku na 65 letech i valorizace výchovného a návrat k valorizaci zásluhové procentní výměry předčasných důchodů. Tato opatření ke přibrzdění růstu výdajů prosadil v reformě minulý kabinet. Ekonomové před rušením varovali.</w:t>
      </w:r>
    </w:p>
    <w:p w14:paraId="051A682E" w14:textId="74CCA602" w:rsidR="00DA7B32" w:rsidRDefault="00A67471" w:rsidP="00A67471">
      <w:pPr>
        <w:rPr>
          <w:rFonts w:asciiTheme="majorHAnsi" w:eastAsia="Calibri" w:hAnsiTheme="majorHAnsi" w:cstheme="majorHAnsi"/>
          <w:color w:val="242E59"/>
        </w:rPr>
      </w:pPr>
      <w:r w:rsidRPr="00DA7B32">
        <w:rPr>
          <w:rFonts w:asciiTheme="majorHAnsi" w:eastAsia="Calibri" w:hAnsiTheme="majorHAnsi" w:cstheme="majorHAnsi"/>
          <w:color w:val="242E59"/>
        </w:rPr>
        <w:t xml:space="preserve">S návrhem druhé důchodové novely má ministerstvo přijít příští rok ve druhém čtvrtletí. Norma má </w:t>
      </w:r>
      <w:r w:rsidR="00DA7B32">
        <w:rPr>
          <w:rFonts w:asciiTheme="majorHAnsi" w:eastAsia="Calibri" w:hAnsiTheme="majorHAnsi" w:cstheme="majorHAnsi"/>
          <w:color w:val="242E59"/>
        </w:rPr>
        <w:t>p</w:t>
      </w:r>
      <w:r w:rsidRPr="00DA7B32">
        <w:rPr>
          <w:rFonts w:asciiTheme="majorHAnsi" w:eastAsia="Calibri" w:hAnsiTheme="majorHAnsi" w:cstheme="majorHAnsi"/>
          <w:color w:val="242E59"/>
        </w:rPr>
        <w:t xml:space="preserve">latit od ledna 2028. </w:t>
      </w:r>
    </w:p>
    <w:p w14:paraId="0C7E1A2A" w14:textId="77777777" w:rsidR="00DA7B32" w:rsidRDefault="00DA7B32" w:rsidP="00A67471">
      <w:pPr>
        <w:rPr>
          <w:rFonts w:asciiTheme="majorHAnsi" w:eastAsia="Calibri" w:hAnsiTheme="majorHAnsi" w:cstheme="majorHAnsi"/>
          <w:color w:val="242E59"/>
        </w:rPr>
      </w:pPr>
    </w:p>
    <w:p w14:paraId="2345E4F1" w14:textId="0F27CE1A" w:rsidR="00A67471" w:rsidRDefault="00A67471" w:rsidP="00A67471">
      <w:pPr>
        <w:rPr>
          <w:rFonts w:asciiTheme="majorHAnsi" w:eastAsia="Calibri" w:hAnsiTheme="majorHAnsi" w:cstheme="majorHAnsi"/>
          <w:color w:val="242E59"/>
        </w:rPr>
      </w:pPr>
      <w:r w:rsidRPr="00DA7B32">
        <w:rPr>
          <w:rFonts w:asciiTheme="majorHAnsi" w:eastAsia="Calibri" w:hAnsiTheme="majorHAnsi" w:cstheme="majorHAnsi"/>
          <w:color w:val="242E59"/>
        </w:rPr>
        <w:t>"Účelem je sjednotit pravidla pro možnost odchodu do starobního důchodu v nižším věku u všech pojištěnců, jejichž práci lze podle analýzy ministerstva zdravotnictví považovat za rizikovou," stojí v plánu. Pracovníci nejrizikovější kategorie mohou chodit do penze dřív bez krácení částky. Zaměstnavatel za ně platí vyšší odvody. Části lidí z druhé nejrizikovější kategorie musí spořit na stáří.</w:t>
      </w:r>
      <w:r w:rsidR="00DA7B32">
        <w:rPr>
          <w:rFonts w:asciiTheme="majorHAnsi" w:eastAsia="Calibri" w:hAnsiTheme="majorHAnsi" w:cstheme="majorHAnsi"/>
          <w:color w:val="242E59"/>
        </w:rPr>
        <w:t xml:space="preserve"> </w:t>
      </w:r>
      <w:r w:rsidRPr="00DA7B32">
        <w:rPr>
          <w:rFonts w:asciiTheme="majorHAnsi" w:eastAsia="Calibri" w:hAnsiTheme="majorHAnsi" w:cstheme="majorHAnsi"/>
          <w:color w:val="242E59"/>
        </w:rPr>
        <w:t xml:space="preserve">Důchodový věk se na 65 let dostane ve 30. letech. Pak by měl růst o měsíc ročně. Na 67 let by se hranice dostala za 31 let v roce 2057. Podle podkladů ministerstva pro tripartitu by </w:t>
      </w:r>
      <w:proofErr w:type="spellStart"/>
      <w:r w:rsidRPr="00DA7B32">
        <w:rPr>
          <w:rFonts w:asciiTheme="majorHAnsi" w:eastAsia="Calibri" w:hAnsiTheme="majorHAnsi" w:cstheme="majorHAnsi"/>
          <w:color w:val="242E59"/>
        </w:rPr>
        <w:t>zastropování</w:t>
      </w:r>
      <w:proofErr w:type="spellEnd"/>
      <w:r w:rsidRPr="00DA7B32">
        <w:rPr>
          <w:rFonts w:asciiTheme="majorHAnsi" w:eastAsia="Calibri" w:hAnsiTheme="majorHAnsi" w:cstheme="majorHAnsi"/>
          <w:color w:val="242E59"/>
        </w:rPr>
        <w:t xml:space="preserve"> začalo zvedat výdaje na penze od roku 2030. Do poloviny století by vzrostly z 2,2 miliardy korun na téměř 129 miliard korun ročně</w:t>
      </w:r>
      <w:r w:rsidRPr="00DA7B32">
        <w:rPr>
          <w:rFonts w:asciiTheme="majorHAnsi" w:eastAsia="Calibri" w:hAnsiTheme="majorHAnsi" w:cstheme="majorHAnsi"/>
          <w:color w:val="242E59"/>
        </w:rPr>
        <w:t>.</w:t>
      </w:r>
    </w:p>
    <w:p w14:paraId="736CAE86" w14:textId="77777777" w:rsidR="00DA7B32" w:rsidRDefault="00DA7B32" w:rsidP="00A67471">
      <w:pPr>
        <w:rPr>
          <w:rFonts w:asciiTheme="majorHAnsi" w:eastAsia="Calibri" w:hAnsiTheme="majorHAnsi" w:cstheme="majorHAnsi"/>
          <w:color w:val="242E59"/>
        </w:rPr>
      </w:pPr>
    </w:p>
    <w:p w14:paraId="44787BA5" w14:textId="77777777" w:rsidR="00DA7B32" w:rsidRDefault="00DA7B32" w:rsidP="00DA7B32">
      <w:pPr>
        <w:rPr>
          <w:rFonts w:asciiTheme="majorHAnsi" w:eastAsia="Calibri" w:hAnsiTheme="majorHAnsi" w:cstheme="majorHAnsi"/>
          <w:b/>
          <w:bCs/>
          <w:color w:val="242E59"/>
          <w:sz w:val="22"/>
          <w:szCs w:val="22"/>
        </w:rPr>
      </w:pPr>
      <w:r w:rsidRPr="00B45FA7">
        <w:rPr>
          <w:rFonts w:asciiTheme="majorHAnsi" w:eastAsia="Calibri" w:hAnsiTheme="majorHAnsi" w:cstheme="majorHAnsi"/>
          <w:b/>
          <w:bCs/>
          <w:color w:val="242E59"/>
          <w:sz w:val="22"/>
          <w:szCs w:val="22"/>
        </w:rPr>
        <w:t>Komentář Michala Španěla</w:t>
      </w:r>
      <w:r>
        <w:rPr>
          <w:rFonts w:asciiTheme="majorHAnsi" w:eastAsia="Calibri" w:hAnsiTheme="majorHAnsi" w:cstheme="majorHAnsi"/>
          <w:b/>
          <w:bCs/>
          <w:color w:val="242E59"/>
          <w:sz w:val="22"/>
          <w:szCs w:val="22"/>
        </w:rPr>
        <w:t xml:space="preserve"> z JenPráce.cz </w:t>
      </w:r>
    </w:p>
    <w:p w14:paraId="161D7BBF" w14:textId="77777777" w:rsidR="00DA7B32" w:rsidRDefault="00DA7B32" w:rsidP="00DA7B32">
      <w:pPr>
        <w:rPr>
          <w:rFonts w:asciiTheme="majorHAnsi" w:eastAsia="Calibri" w:hAnsiTheme="majorHAnsi" w:cstheme="majorHAnsi"/>
          <w:color w:val="242E59"/>
        </w:rPr>
      </w:pPr>
      <w:r w:rsidRPr="00DA7B32">
        <w:rPr>
          <w:rFonts w:asciiTheme="majorHAnsi" w:eastAsia="Calibri" w:hAnsiTheme="majorHAnsi" w:cstheme="majorHAnsi"/>
          <w:color w:val="242E59"/>
        </w:rPr>
        <w:t>Z analytického hlediska je odstranění stropu 65 let z aktuální novely racionálním krokem, který by – byť jde o nepopulární opatření – ideálně neměl být zaveden ani v druhé vlně. Pokud bychom dnes pevně zafixovali věk odchodu do důchodu bez dořešení příjmové stránky systému, vytvořili bychom strukturální deficit, který by nejvíce dopadl na dnešní generaci třicátníků. Přestože důchodový systém aktuálně vykazuje relativně přijatelnou míru stability, zejména v případě opětovného výraznějšího ekonomického růstu, dlouhodobý demografický tlak přetrvává. Na jednoho důchodce bude v blízké budoucnosti připadat kriticky nízký počet ekonomicky aktivních.</w:t>
      </w:r>
    </w:p>
    <w:p w14:paraId="52AF41A2" w14:textId="77777777" w:rsidR="00DA7B32" w:rsidRPr="00DA7B32" w:rsidRDefault="00DA7B32" w:rsidP="00DA7B32">
      <w:pPr>
        <w:rPr>
          <w:rFonts w:asciiTheme="majorHAnsi" w:eastAsia="Calibri" w:hAnsiTheme="majorHAnsi" w:cstheme="majorHAnsi"/>
          <w:color w:val="242E59"/>
        </w:rPr>
      </w:pPr>
    </w:p>
    <w:p w14:paraId="04210CF5" w14:textId="77777777" w:rsidR="00DA7B32" w:rsidRDefault="00DA7B32" w:rsidP="00DA7B32">
      <w:pPr>
        <w:rPr>
          <w:rFonts w:asciiTheme="majorHAnsi" w:eastAsia="Calibri" w:hAnsiTheme="majorHAnsi" w:cstheme="majorHAnsi"/>
          <w:color w:val="242E59"/>
        </w:rPr>
      </w:pPr>
      <w:r w:rsidRPr="00DA7B32">
        <w:rPr>
          <w:rFonts w:asciiTheme="majorHAnsi" w:eastAsia="Calibri" w:hAnsiTheme="majorHAnsi" w:cstheme="majorHAnsi"/>
          <w:color w:val="242E59"/>
        </w:rPr>
        <w:t xml:space="preserve">Fakt, že se v první vlně (platné od ledna 2027) vláda soustředí na valorizace pro seniory nad 80 let a na úpravu mechanismu růstu penzí, ukazuje snahu </w:t>
      </w:r>
      <w:proofErr w:type="spellStart"/>
      <w:r w:rsidRPr="00DA7B32">
        <w:rPr>
          <w:rFonts w:asciiTheme="majorHAnsi" w:eastAsia="Calibri" w:hAnsiTheme="majorHAnsi" w:cstheme="majorHAnsi"/>
          <w:color w:val="242E59"/>
        </w:rPr>
        <w:t>prioritizovat</w:t>
      </w:r>
      <w:proofErr w:type="spellEnd"/>
      <w:r w:rsidRPr="00DA7B32">
        <w:rPr>
          <w:rFonts w:asciiTheme="majorHAnsi" w:eastAsia="Calibri" w:hAnsiTheme="majorHAnsi" w:cstheme="majorHAnsi"/>
          <w:color w:val="242E59"/>
        </w:rPr>
        <w:t xml:space="preserve"> osoby, které již v systému jsou. Odsunutí rozhodnutí o stropu důchodového věku do druhé vlny zároveň vytváří prostor pro </w:t>
      </w:r>
      <w:r w:rsidRPr="00DA7B32">
        <w:rPr>
          <w:rFonts w:asciiTheme="majorHAnsi" w:eastAsia="Calibri" w:hAnsiTheme="majorHAnsi" w:cstheme="majorHAnsi"/>
          <w:color w:val="242E59"/>
        </w:rPr>
        <w:lastRenderedPageBreak/>
        <w:t>přesnější vymezení náročných profesí a jejich nároku na dřívější odchod. Je přitom zásadní, aby tato definice vycházela z tvrdých dat o zdravotním stavu populace, nikoliv z dojmů. Statistiky totiž ukazují, že zatímco délka života roste, délka života ve zdraví stagnuje – a právě tento ukazatel by měl být klíčovým parametrem pro nastavení věku odchodu do důchodu.</w:t>
      </w:r>
    </w:p>
    <w:p w14:paraId="4AEEFEF6" w14:textId="77777777" w:rsidR="00DA7B32" w:rsidRPr="00DA7B32" w:rsidRDefault="00DA7B32" w:rsidP="00DA7B32">
      <w:pPr>
        <w:rPr>
          <w:rFonts w:asciiTheme="majorHAnsi" w:eastAsia="Calibri" w:hAnsiTheme="majorHAnsi" w:cstheme="majorHAnsi"/>
          <w:color w:val="242E59"/>
        </w:rPr>
      </w:pPr>
    </w:p>
    <w:p w14:paraId="02FAB9D2" w14:textId="77777777" w:rsidR="00DA7B32" w:rsidRDefault="00DA7B32" w:rsidP="00DA7B32">
      <w:pPr>
        <w:rPr>
          <w:rFonts w:asciiTheme="majorHAnsi" w:eastAsia="Calibri" w:hAnsiTheme="majorHAnsi" w:cstheme="majorHAnsi"/>
          <w:color w:val="242E59"/>
        </w:rPr>
      </w:pPr>
      <w:r w:rsidRPr="00DA7B32">
        <w:rPr>
          <w:rFonts w:asciiTheme="majorHAnsi" w:eastAsia="Calibri" w:hAnsiTheme="majorHAnsi" w:cstheme="majorHAnsi"/>
          <w:color w:val="242E59"/>
        </w:rPr>
        <w:t>Data OECD ukazují, že ve věkové skupině 50 až 59 let je v Česku zaměstnáno 91,4 % lidí, což je nejvyšší hodnota v rámci OECD. U skupiny 60 až 64 let však míra zaměstnanosti klesá na 58,4 %. U žen činí dokonce jen 51,1 %, zatímco u mužů 66,5 %. To naznačuje, že problém nezačíná až na hranici 65 let, ale často již po šedesátce, kdy se kumulují zdravotní limity, péče o blízké i nižší ochota zaměstnavatelů starší pracovníky nabírat nebo rekvalifikovat.</w:t>
      </w:r>
    </w:p>
    <w:p w14:paraId="24F59D63" w14:textId="77777777" w:rsidR="00DA7B32" w:rsidRPr="00DA7B32" w:rsidRDefault="00DA7B32" w:rsidP="00DA7B32">
      <w:pPr>
        <w:rPr>
          <w:rFonts w:asciiTheme="majorHAnsi" w:eastAsia="Calibri" w:hAnsiTheme="majorHAnsi" w:cstheme="majorHAnsi"/>
          <w:color w:val="242E59"/>
        </w:rPr>
      </w:pPr>
    </w:p>
    <w:p w14:paraId="67B76436" w14:textId="77777777" w:rsidR="00DA7B32" w:rsidRDefault="00DA7B32" w:rsidP="00DA7B32">
      <w:pPr>
        <w:rPr>
          <w:rFonts w:asciiTheme="majorHAnsi" w:eastAsia="Calibri" w:hAnsiTheme="majorHAnsi" w:cstheme="majorHAnsi"/>
          <w:color w:val="242E59"/>
        </w:rPr>
      </w:pPr>
      <w:r w:rsidRPr="00DA7B32">
        <w:rPr>
          <w:rFonts w:asciiTheme="majorHAnsi" w:eastAsia="Calibri" w:hAnsiTheme="majorHAnsi" w:cstheme="majorHAnsi"/>
          <w:color w:val="242E59"/>
        </w:rPr>
        <w:t xml:space="preserve">Pro trh práce z toho plyne jediné: je nutné výrazně zefektivnit práci se staršími zaměstnanci, přizpůsobit jim pracovní podmínky a nabídnout flexibilnější formy úvazků. Programy </w:t>
      </w:r>
      <w:proofErr w:type="spellStart"/>
      <w:r w:rsidRPr="00DA7B32">
        <w:rPr>
          <w:rFonts w:asciiTheme="majorHAnsi" w:eastAsia="Calibri" w:hAnsiTheme="majorHAnsi" w:cstheme="majorHAnsi"/>
          <w:color w:val="242E59"/>
        </w:rPr>
        <w:t>age</w:t>
      </w:r>
      <w:proofErr w:type="spellEnd"/>
      <w:r w:rsidRPr="00DA7B32">
        <w:rPr>
          <w:rFonts w:asciiTheme="majorHAnsi" w:eastAsia="Calibri" w:hAnsiTheme="majorHAnsi" w:cstheme="majorHAnsi"/>
          <w:color w:val="242E59"/>
        </w:rPr>
        <w:t xml:space="preserve"> managementu a rekvalifikací v pozdějším věku nesmí zůstat pouze deklarativními pojmy v tiskových zprávách, ale musí se stát reálným nástrojem. Bez ohledu na to, zda bude strop odchodu do důchodu nastaven na 65 nebo 67 let, bude český trh práce fungovat lépe, pokud dokáže systematicky využívat potenciál lidí v předdůchodovém věku.</w:t>
      </w:r>
    </w:p>
    <w:p w14:paraId="0A074A44" w14:textId="77777777" w:rsidR="00DA7B32" w:rsidRPr="00DA7B32" w:rsidRDefault="00DA7B32" w:rsidP="00DA7B32">
      <w:pPr>
        <w:rPr>
          <w:rFonts w:asciiTheme="majorHAnsi" w:eastAsia="Calibri" w:hAnsiTheme="majorHAnsi" w:cstheme="majorHAnsi"/>
          <w:color w:val="242E59"/>
        </w:rPr>
      </w:pPr>
    </w:p>
    <w:p w14:paraId="680630CE" w14:textId="018C4AEF" w:rsidR="00DA7B32" w:rsidRPr="00DA7B32" w:rsidRDefault="00DA7B32" w:rsidP="00DA7B32">
      <w:pPr>
        <w:rPr>
          <w:rFonts w:asciiTheme="majorHAnsi" w:eastAsia="Calibri" w:hAnsiTheme="majorHAnsi" w:cstheme="majorHAnsi"/>
          <w:color w:val="242E59"/>
        </w:rPr>
      </w:pPr>
      <w:r w:rsidRPr="00DA7B32">
        <w:rPr>
          <w:rFonts w:asciiTheme="majorHAnsi" w:eastAsia="Calibri" w:hAnsiTheme="majorHAnsi" w:cstheme="majorHAnsi"/>
          <w:color w:val="242E59"/>
        </w:rPr>
        <w:t>Do budoucna by se měla hospodářská politika více zaměřit také na rozvoj robotizace a automatizace, které mohou částečně kompenzovat dopady stárnutí populace. Ambicí by nemělo být zůstávat v mezinárodním srovnání pozadu, ale naopak se zařadit mezi ekonomiky, které patří v efektivitě a technologické adaptaci mezi světovou špičku. Takový přístup může přispět ke stabilizaci systému bez nutnosti společensky citlivých řešení, jako je masivní dovoz zahraniční pracovní síly, nebo bez rizika hlubších strukturálních problémů v budoucnu.</w:t>
      </w:r>
    </w:p>
    <w:p w14:paraId="4D687721" w14:textId="77777777" w:rsidR="00DA7B32" w:rsidRPr="00DA7B32" w:rsidRDefault="00DA7B32" w:rsidP="00A67471">
      <w:pPr>
        <w:rPr>
          <w:rFonts w:asciiTheme="majorHAnsi" w:eastAsia="Calibri" w:hAnsiTheme="majorHAnsi" w:cstheme="majorHAnsi"/>
          <w:color w:val="242E59"/>
        </w:rPr>
      </w:pPr>
    </w:p>
    <w:p w14:paraId="428C896D" w14:textId="77777777" w:rsidR="00DA7B32" w:rsidRDefault="00DA7B32" w:rsidP="00DA7B32">
      <w:pPr>
        <w:rPr>
          <w:rFonts w:asciiTheme="majorHAnsi" w:eastAsia="Calibri" w:hAnsiTheme="majorHAnsi" w:cstheme="majorHAnsi"/>
          <w:b/>
          <w:bCs/>
          <w:color w:val="242E59"/>
          <w:sz w:val="22"/>
          <w:szCs w:val="22"/>
        </w:rPr>
      </w:pPr>
    </w:p>
    <w:p w14:paraId="0103D398" w14:textId="3443A3F7" w:rsidR="00B45FA7" w:rsidRPr="00B45FA7" w:rsidRDefault="00B45FA7" w:rsidP="00B7318D">
      <w:pPr>
        <w:rPr>
          <w:rFonts w:asciiTheme="majorHAnsi" w:eastAsia="Calibri" w:hAnsiTheme="majorHAnsi" w:cstheme="majorHAnsi"/>
          <w:b/>
          <w:bCs/>
          <w:color w:val="242E59"/>
          <w:sz w:val="22"/>
          <w:szCs w:val="22"/>
        </w:rPr>
      </w:pPr>
      <w:r w:rsidRPr="00B45FA7">
        <w:rPr>
          <w:rFonts w:asciiTheme="majorHAnsi" w:eastAsia="Calibri" w:hAnsiTheme="majorHAnsi" w:cstheme="majorHAnsi"/>
          <w:b/>
          <w:bCs/>
          <w:color w:val="242E59"/>
          <w:sz w:val="22"/>
          <w:szCs w:val="22"/>
        </w:rPr>
        <w:t>Michal Španěl, manažer a datový analytik pracovního portálu JenPráce.cz</w:t>
      </w:r>
    </w:p>
    <w:p w14:paraId="7E4547F8" w14:textId="27231F39" w:rsidR="000B2972" w:rsidRDefault="00B7110D" w:rsidP="008703DC">
      <w:pPr>
        <w:rPr>
          <w:rFonts w:asciiTheme="majorHAnsi" w:eastAsia="Arial" w:hAnsiTheme="majorHAnsi" w:cstheme="majorHAnsi"/>
          <w:b/>
          <w:color w:val="1C418E"/>
          <w:sz w:val="22"/>
          <w:szCs w:val="22"/>
        </w:rPr>
      </w:pPr>
      <w:r>
        <w:rPr>
          <w:rFonts w:asciiTheme="majorHAnsi" w:eastAsia="Calibri" w:hAnsiTheme="majorHAnsi" w:cstheme="majorHAnsi"/>
          <w:b/>
          <w:bCs/>
          <w:color w:val="242E59"/>
          <w:sz w:val="22"/>
          <w:szCs w:val="22"/>
        </w:rPr>
        <w:br/>
      </w:r>
    </w:p>
    <w:p w14:paraId="32A7C769" w14:textId="77777777" w:rsidR="000B2972" w:rsidRDefault="000B2972" w:rsidP="008703DC">
      <w:pPr>
        <w:rPr>
          <w:rFonts w:asciiTheme="majorHAnsi" w:eastAsia="Arial" w:hAnsiTheme="majorHAnsi" w:cstheme="majorHAnsi"/>
          <w:b/>
          <w:color w:val="1C418E"/>
          <w:sz w:val="22"/>
          <w:szCs w:val="22"/>
        </w:rPr>
      </w:pPr>
    </w:p>
    <w:p w14:paraId="31FEF180" w14:textId="42E6FDEA" w:rsidR="00B70950" w:rsidRPr="00B7110D" w:rsidRDefault="00000000" w:rsidP="008703DC">
      <w:pPr>
        <w:rPr>
          <w:rFonts w:asciiTheme="majorHAnsi" w:eastAsia="Calibri" w:hAnsiTheme="majorHAnsi" w:cstheme="majorHAnsi"/>
          <w:b/>
          <w:bCs/>
          <w:color w:val="242E59"/>
          <w:sz w:val="22"/>
          <w:szCs w:val="22"/>
        </w:rPr>
      </w:pPr>
      <w:r w:rsidRPr="00B45FA7">
        <w:rPr>
          <w:rFonts w:asciiTheme="majorHAnsi" w:eastAsia="Arial" w:hAnsiTheme="majorHAnsi" w:cstheme="majorHAnsi"/>
          <w:b/>
          <w:color w:val="1C418E"/>
          <w:sz w:val="22"/>
          <w:szCs w:val="22"/>
        </w:rPr>
        <w:t>O portálu JenPráce.cz</w:t>
      </w:r>
    </w:p>
    <w:p w14:paraId="1C839245" w14:textId="77777777" w:rsidR="00B70950" w:rsidRPr="00B45FA7" w:rsidRDefault="00B70950">
      <w:pPr>
        <w:pBdr>
          <w:top w:val="nil"/>
          <w:left w:val="nil"/>
          <w:bottom w:val="nil"/>
          <w:right w:val="nil"/>
          <w:between w:val="nil"/>
        </w:pBdr>
        <w:jc w:val="both"/>
        <w:rPr>
          <w:rFonts w:asciiTheme="majorHAnsi" w:eastAsia="Calibri" w:hAnsiTheme="majorHAnsi" w:cstheme="majorHAnsi"/>
          <w:color w:val="242E59"/>
          <w:sz w:val="22"/>
          <w:szCs w:val="22"/>
        </w:rPr>
      </w:pPr>
    </w:p>
    <w:p w14:paraId="7E8F2194" w14:textId="77777777" w:rsidR="00B70950" w:rsidRPr="00B45FA7" w:rsidRDefault="00000000">
      <w:pPr>
        <w:pBdr>
          <w:top w:val="nil"/>
          <w:left w:val="nil"/>
          <w:bottom w:val="nil"/>
          <w:right w:val="nil"/>
          <w:between w:val="nil"/>
        </w:pBdr>
        <w:jc w:val="both"/>
        <w:rPr>
          <w:rFonts w:asciiTheme="majorHAnsi" w:hAnsiTheme="majorHAnsi" w:cstheme="majorHAnsi"/>
          <w:color w:val="000000"/>
          <w:sz w:val="22"/>
          <w:szCs w:val="22"/>
        </w:rPr>
      </w:pPr>
      <w:r w:rsidRPr="00B45FA7">
        <w:rPr>
          <w:rFonts w:asciiTheme="majorHAnsi" w:eastAsia="Calibri" w:hAnsiTheme="majorHAnsi" w:cstheme="majorHAnsi"/>
          <w:color w:val="242E59"/>
          <w:sz w:val="22"/>
          <w:szCs w:val="22"/>
        </w:rPr>
        <w:t xml:space="preserve">Pracovní portál JenPráce.cz patří mezi největší pracovní portály v České republice a funguje od roku 2013. Stojí za ním společnost </w:t>
      </w:r>
      <w:proofErr w:type="spellStart"/>
      <w:r w:rsidRPr="00B45FA7">
        <w:rPr>
          <w:rFonts w:asciiTheme="majorHAnsi" w:eastAsia="Calibri" w:hAnsiTheme="majorHAnsi" w:cstheme="majorHAnsi"/>
          <w:color w:val="242E59"/>
          <w:sz w:val="22"/>
          <w:szCs w:val="22"/>
        </w:rPr>
        <w:t>Coweo</w:t>
      </w:r>
      <w:proofErr w:type="spellEnd"/>
      <w:r w:rsidRPr="00B45FA7">
        <w:rPr>
          <w:rFonts w:asciiTheme="majorHAnsi" w:eastAsia="Calibri" w:hAnsiTheme="majorHAnsi" w:cstheme="majorHAnsi"/>
          <w:color w:val="242E59"/>
          <w:sz w:val="22"/>
          <w:szCs w:val="22"/>
        </w:rPr>
        <w:t xml:space="preserve"> Technologies a investiční skupina Pale </w:t>
      </w:r>
      <w:proofErr w:type="spellStart"/>
      <w:r w:rsidRPr="00B45FA7">
        <w:rPr>
          <w:rFonts w:asciiTheme="majorHAnsi" w:eastAsia="Calibri" w:hAnsiTheme="majorHAnsi" w:cstheme="majorHAnsi"/>
          <w:color w:val="242E59"/>
          <w:sz w:val="22"/>
          <w:szCs w:val="22"/>
        </w:rPr>
        <w:t>Fire</w:t>
      </w:r>
      <w:proofErr w:type="spellEnd"/>
      <w:r w:rsidRPr="00B45FA7">
        <w:rPr>
          <w:rFonts w:asciiTheme="majorHAnsi" w:eastAsia="Calibri" w:hAnsiTheme="majorHAnsi" w:cstheme="majorHAnsi"/>
          <w:color w:val="242E59"/>
          <w:sz w:val="22"/>
          <w:szCs w:val="22"/>
        </w:rPr>
        <w:t xml:space="preserve"> </w:t>
      </w:r>
      <w:proofErr w:type="spellStart"/>
      <w:r w:rsidRPr="00B45FA7">
        <w:rPr>
          <w:rFonts w:asciiTheme="majorHAnsi" w:eastAsia="Calibri" w:hAnsiTheme="majorHAnsi" w:cstheme="majorHAnsi"/>
          <w:color w:val="242E59"/>
          <w:sz w:val="22"/>
          <w:szCs w:val="22"/>
        </w:rPr>
        <w:t>Capital</w:t>
      </w:r>
      <w:proofErr w:type="spellEnd"/>
      <w:r w:rsidRPr="00B45FA7">
        <w:rPr>
          <w:rFonts w:asciiTheme="majorHAnsi" w:eastAsia="Calibri" w:hAnsiTheme="majorHAnsi" w:cstheme="majorHAnsi"/>
          <w:color w:val="242E59"/>
          <w:sz w:val="22"/>
          <w:szCs w:val="22"/>
        </w:rPr>
        <w:t>. Jeho cílem je pomáhat lidem najít lepší práci a firmám poskytovat výhodné a kvalitní služby, které jim ulehčí proces obsazování pracovních pozic a zároveň jim pomohou se rozrůstat.</w:t>
      </w:r>
    </w:p>
    <w:p w14:paraId="540813AA" w14:textId="77777777" w:rsidR="00B70950" w:rsidRPr="00B45FA7" w:rsidRDefault="00B70950">
      <w:pPr>
        <w:pBdr>
          <w:top w:val="nil"/>
          <w:left w:val="nil"/>
          <w:bottom w:val="nil"/>
          <w:right w:val="nil"/>
          <w:between w:val="nil"/>
        </w:pBdr>
        <w:rPr>
          <w:rFonts w:asciiTheme="majorHAnsi" w:hAnsiTheme="majorHAnsi" w:cstheme="majorHAnsi"/>
          <w:color w:val="000000"/>
          <w:sz w:val="22"/>
          <w:szCs w:val="22"/>
        </w:rPr>
      </w:pPr>
    </w:p>
    <w:p w14:paraId="54E745FC" w14:textId="77777777" w:rsidR="00B70950" w:rsidRPr="00B45FA7" w:rsidRDefault="00000000">
      <w:pPr>
        <w:pBdr>
          <w:top w:val="nil"/>
          <w:left w:val="nil"/>
          <w:bottom w:val="nil"/>
          <w:right w:val="nil"/>
          <w:between w:val="nil"/>
        </w:pBdr>
        <w:jc w:val="both"/>
        <w:rPr>
          <w:rFonts w:asciiTheme="majorHAnsi" w:hAnsiTheme="majorHAnsi" w:cstheme="majorHAnsi"/>
          <w:color w:val="000000"/>
          <w:sz w:val="22"/>
          <w:szCs w:val="22"/>
        </w:rPr>
      </w:pPr>
      <w:r w:rsidRPr="00B45FA7">
        <w:rPr>
          <w:rFonts w:asciiTheme="majorHAnsi" w:eastAsia="Calibri" w:hAnsiTheme="majorHAnsi" w:cstheme="majorHAnsi"/>
          <w:color w:val="242E59"/>
          <w:sz w:val="22"/>
          <w:szCs w:val="22"/>
        </w:rPr>
        <w:t>JenPráce.cz má k dispozici širokou škálu statistik, počínaje rozvrstvením nabídek v jednotlivých krajích, přes četnost nabízených benefitů až například po požadované vzdělání.  </w:t>
      </w:r>
    </w:p>
    <w:p w14:paraId="4774BD99" w14:textId="77777777" w:rsidR="00B70950" w:rsidRPr="00B45FA7" w:rsidRDefault="00B70950">
      <w:pPr>
        <w:pBdr>
          <w:top w:val="nil"/>
          <w:left w:val="nil"/>
          <w:bottom w:val="nil"/>
          <w:right w:val="nil"/>
          <w:between w:val="nil"/>
        </w:pBdr>
        <w:jc w:val="both"/>
        <w:rPr>
          <w:rFonts w:asciiTheme="majorHAnsi" w:eastAsia="Calibri" w:hAnsiTheme="majorHAnsi" w:cstheme="majorHAnsi"/>
          <w:color w:val="242E59"/>
          <w:sz w:val="22"/>
          <w:szCs w:val="22"/>
        </w:rPr>
      </w:pPr>
    </w:p>
    <w:p w14:paraId="649A6362" w14:textId="77777777" w:rsidR="00B70950" w:rsidRPr="00B45FA7" w:rsidRDefault="00000000">
      <w:pPr>
        <w:pBdr>
          <w:top w:val="nil"/>
          <w:left w:val="nil"/>
          <w:bottom w:val="nil"/>
          <w:right w:val="nil"/>
          <w:between w:val="nil"/>
        </w:pBdr>
        <w:rPr>
          <w:rFonts w:asciiTheme="majorHAnsi" w:eastAsia="Arial" w:hAnsiTheme="majorHAnsi" w:cstheme="majorHAnsi"/>
          <w:color w:val="242E59"/>
          <w:sz w:val="22"/>
          <w:szCs w:val="22"/>
        </w:rPr>
      </w:pPr>
      <w:r w:rsidRPr="00B45FA7">
        <w:rPr>
          <w:rFonts w:asciiTheme="majorHAnsi" w:hAnsiTheme="majorHAnsi" w:cstheme="majorHAnsi"/>
          <w:noProof/>
          <w:sz w:val="22"/>
          <w:szCs w:val="22"/>
        </w:rPr>
        <mc:AlternateContent>
          <mc:Choice Requires="wpg">
            <w:drawing>
              <wp:anchor distT="0" distB="0" distL="114300" distR="114300" simplePos="0" relativeHeight="251659264" behindDoc="0" locked="0" layoutInCell="1" hidden="0" allowOverlap="1" wp14:anchorId="5927360E" wp14:editId="5051AEF8">
                <wp:simplePos x="0" y="0"/>
                <wp:positionH relativeFrom="column">
                  <wp:posOffset>38101</wp:posOffset>
                </wp:positionH>
                <wp:positionV relativeFrom="paragraph">
                  <wp:posOffset>101600</wp:posOffset>
                </wp:positionV>
                <wp:extent cx="5113020" cy="17625"/>
                <wp:effectExtent l="0" t="0" r="0" b="0"/>
                <wp:wrapNone/>
                <wp:docPr id="1" name="Přímá spojovací šipka 1"/>
                <wp:cNvGraphicFramePr/>
                <a:graphic xmlns:a="http://schemas.openxmlformats.org/drawingml/2006/main">
                  <a:graphicData uri="http://schemas.microsoft.com/office/word/2010/wordprocessingShape">
                    <wps:wsp>
                      <wps:cNvCnPr/>
                      <wps:spPr>
                        <a:xfrm>
                          <a:off x="2789490" y="3780000"/>
                          <a:ext cx="5113020" cy="0"/>
                        </a:xfrm>
                        <a:prstGeom prst="straightConnector1">
                          <a:avLst/>
                        </a:prstGeom>
                        <a:noFill/>
                        <a:ln w="17625" cap="flat" cmpd="sng">
                          <a:solidFill>
                            <a:srgbClr val="CA171B"/>
                          </a:solidFill>
                          <a:prstDash val="solid"/>
                          <a:miter lim="800000"/>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38101</wp:posOffset>
                </wp:positionH>
                <wp:positionV relativeFrom="paragraph">
                  <wp:posOffset>101600</wp:posOffset>
                </wp:positionV>
                <wp:extent cx="5113020" cy="17625"/>
                <wp:effectExtent b="0" l="0" r="0" t="0"/>
                <wp:wrapNone/>
                <wp:docPr id="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5113020" cy="17625"/>
                        </a:xfrm>
                        <a:prstGeom prst="rect"/>
                        <a:ln/>
                      </pic:spPr>
                    </pic:pic>
                  </a:graphicData>
                </a:graphic>
              </wp:anchor>
            </w:drawing>
          </mc:Fallback>
        </mc:AlternateContent>
      </w:r>
    </w:p>
    <w:p w14:paraId="11E38769" w14:textId="77777777" w:rsidR="00B70950" w:rsidRPr="00B45FA7" w:rsidRDefault="00B70950">
      <w:pPr>
        <w:pBdr>
          <w:top w:val="nil"/>
          <w:left w:val="nil"/>
          <w:bottom w:val="nil"/>
          <w:right w:val="nil"/>
          <w:between w:val="nil"/>
        </w:pBdr>
        <w:rPr>
          <w:rFonts w:asciiTheme="majorHAnsi" w:eastAsia="Arial" w:hAnsiTheme="majorHAnsi" w:cstheme="majorHAnsi"/>
          <w:color w:val="242E59"/>
          <w:sz w:val="22"/>
          <w:szCs w:val="22"/>
        </w:rPr>
      </w:pPr>
    </w:p>
    <w:p w14:paraId="60CE94B2" w14:textId="77777777" w:rsidR="00B70950" w:rsidRPr="00B45FA7" w:rsidRDefault="00000000">
      <w:pPr>
        <w:pBdr>
          <w:top w:val="nil"/>
          <w:left w:val="nil"/>
          <w:bottom w:val="nil"/>
          <w:right w:val="nil"/>
          <w:between w:val="nil"/>
        </w:pBdr>
        <w:rPr>
          <w:rFonts w:asciiTheme="majorHAnsi" w:eastAsia="Liberation Serif" w:hAnsiTheme="majorHAnsi" w:cstheme="majorHAnsi"/>
          <w:color w:val="000000"/>
          <w:sz w:val="22"/>
          <w:szCs w:val="22"/>
        </w:rPr>
      </w:pPr>
      <w:r w:rsidRPr="00B45FA7">
        <w:rPr>
          <w:rFonts w:asciiTheme="majorHAnsi" w:eastAsia="Arial" w:hAnsiTheme="majorHAnsi" w:cstheme="majorHAnsi"/>
          <w:b/>
          <w:color w:val="1C418E"/>
          <w:sz w:val="22"/>
          <w:szCs w:val="22"/>
        </w:rPr>
        <w:t>Kontakt pro média</w:t>
      </w:r>
    </w:p>
    <w:p w14:paraId="702B4A6D" w14:textId="77777777" w:rsidR="00B70950" w:rsidRPr="00B45FA7" w:rsidRDefault="00B70950">
      <w:pPr>
        <w:pBdr>
          <w:top w:val="nil"/>
          <w:left w:val="nil"/>
          <w:bottom w:val="nil"/>
          <w:right w:val="nil"/>
          <w:between w:val="nil"/>
        </w:pBdr>
        <w:rPr>
          <w:rFonts w:asciiTheme="majorHAnsi" w:eastAsia="Arial" w:hAnsiTheme="majorHAnsi" w:cstheme="majorHAnsi"/>
          <w:color w:val="242E59"/>
          <w:sz w:val="22"/>
          <w:szCs w:val="22"/>
        </w:rPr>
      </w:pPr>
    </w:p>
    <w:p w14:paraId="47D328AA" w14:textId="3F3D0462" w:rsidR="00B70950" w:rsidRPr="00B45FA7" w:rsidRDefault="00637D21">
      <w:pPr>
        <w:pBdr>
          <w:top w:val="nil"/>
          <w:left w:val="nil"/>
          <w:bottom w:val="nil"/>
          <w:right w:val="nil"/>
          <w:between w:val="nil"/>
        </w:pBdr>
        <w:rPr>
          <w:rFonts w:asciiTheme="majorHAnsi" w:eastAsia="Calibri" w:hAnsiTheme="majorHAnsi" w:cstheme="majorHAnsi"/>
          <w:color w:val="000000"/>
          <w:sz w:val="22"/>
          <w:szCs w:val="22"/>
        </w:rPr>
      </w:pPr>
      <w:r w:rsidRPr="00B45FA7">
        <w:rPr>
          <w:rFonts w:asciiTheme="majorHAnsi" w:eastAsia="Calibri" w:hAnsiTheme="majorHAnsi" w:cstheme="majorHAnsi"/>
          <w:b/>
          <w:color w:val="242E59"/>
          <w:sz w:val="22"/>
          <w:szCs w:val="22"/>
        </w:rPr>
        <w:t>Petr Jarkovský a Michal Hoblík – ASPEN.PR</w:t>
      </w:r>
    </w:p>
    <w:p w14:paraId="7BBC4887" w14:textId="51E35529" w:rsidR="00637D21" w:rsidRPr="00B45FA7" w:rsidRDefault="00000000">
      <w:pPr>
        <w:pBdr>
          <w:top w:val="nil"/>
          <w:left w:val="nil"/>
          <w:bottom w:val="nil"/>
          <w:right w:val="nil"/>
          <w:between w:val="nil"/>
        </w:pBdr>
        <w:rPr>
          <w:rFonts w:asciiTheme="majorHAnsi" w:eastAsia="Calibri" w:hAnsiTheme="majorHAnsi" w:cstheme="majorHAnsi"/>
          <w:color w:val="242E59"/>
          <w:sz w:val="22"/>
          <w:szCs w:val="22"/>
        </w:rPr>
      </w:pPr>
      <w:r w:rsidRPr="00B45FA7">
        <w:rPr>
          <w:rFonts w:asciiTheme="majorHAnsi" w:eastAsia="Calibri" w:hAnsiTheme="majorHAnsi" w:cstheme="majorHAnsi"/>
          <w:color w:val="242E59"/>
          <w:sz w:val="22"/>
          <w:szCs w:val="22"/>
        </w:rPr>
        <w:t>e-mail</w:t>
      </w:r>
      <w:r w:rsidR="00637D21" w:rsidRPr="00B45FA7">
        <w:rPr>
          <w:rFonts w:asciiTheme="majorHAnsi" w:eastAsia="Calibri" w:hAnsiTheme="majorHAnsi" w:cstheme="majorHAnsi"/>
          <w:color w:val="242E59"/>
          <w:sz w:val="22"/>
          <w:szCs w:val="22"/>
        </w:rPr>
        <w:t xml:space="preserve">y: </w:t>
      </w:r>
      <w:hyperlink r:id="rId9" w:history="1">
        <w:r w:rsidR="00637D21" w:rsidRPr="00B45FA7">
          <w:rPr>
            <w:rStyle w:val="Hypertextovodkaz"/>
            <w:rFonts w:asciiTheme="majorHAnsi" w:eastAsia="Calibri" w:hAnsiTheme="majorHAnsi" w:cstheme="majorHAnsi"/>
            <w:sz w:val="22"/>
            <w:szCs w:val="22"/>
          </w:rPr>
          <w:t>petr.jarkovsky@aspen.pr</w:t>
        </w:r>
      </w:hyperlink>
      <w:r w:rsidR="00637D21" w:rsidRPr="00B45FA7">
        <w:rPr>
          <w:rFonts w:asciiTheme="majorHAnsi" w:eastAsia="Calibri" w:hAnsiTheme="majorHAnsi" w:cstheme="majorHAnsi"/>
          <w:color w:val="242E59"/>
          <w:sz w:val="22"/>
          <w:szCs w:val="22"/>
        </w:rPr>
        <w:t xml:space="preserve"> / </w:t>
      </w:r>
      <w:hyperlink r:id="rId10" w:history="1">
        <w:r w:rsidR="00637D21" w:rsidRPr="00B45FA7">
          <w:rPr>
            <w:rStyle w:val="Hypertextovodkaz"/>
            <w:rFonts w:asciiTheme="majorHAnsi" w:eastAsia="Calibri" w:hAnsiTheme="majorHAnsi" w:cstheme="majorHAnsi"/>
            <w:sz w:val="22"/>
            <w:szCs w:val="22"/>
          </w:rPr>
          <w:t>michal.hoblik@aspen.pr</w:t>
        </w:r>
      </w:hyperlink>
    </w:p>
    <w:p w14:paraId="4A4407CA" w14:textId="2900F0E5" w:rsidR="00B70950" w:rsidRPr="00B45FA7" w:rsidRDefault="00000000">
      <w:pPr>
        <w:pBdr>
          <w:top w:val="nil"/>
          <w:left w:val="nil"/>
          <w:bottom w:val="nil"/>
          <w:right w:val="nil"/>
          <w:between w:val="nil"/>
        </w:pBdr>
        <w:rPr>
          <w:rFonts w:asciiTheme="majorHAnsi" w:eastAsia="Calibri" w:hAnsiTheme="majorHAnsi" w:cstheme="majorHAnsi"/>
          <w:color w:val="242E59"/>
          <w:sz w:val="22"/>
          <w:szCs w:val="22"/>
        </w:rPr>
      </w:pPr>
      <w:r w:rsidRPr="00B45FA7">
        <w:rPr>
          <w:rFonts w:asciiTheme="majorHAnsi" w:eastAsia="Calibri" w:hAnsiTheme="majorHAnsi" w:cstheme="majorHAnsi"/>
          <w:color w:val="242E59"/>
          <w:sz w:val="22"/>
          <w:szCs w:val="22"/>
        </w:rPr>
        <w:t>tel.: +420 77</w:t>
      </w:r>
      <w:r w:rsidR="00637D21" w:rsidRPr="00B45FA7">
        <w:rPr>
          <w:rFonts w:asciiTheme="majorHAnsi" w:eastAsia="Calibri" w:hAnsiTheme="majorHAnsi" w:cstheme="majorHAnsi"/>
          <w:color w:val="242E59"/>
          <w:sz w:val="22"/>
          <w:szCs w:val="22"/>
        </w:rPr>
        <w:t>4 225 153 / +420 774 225 155</w:t>
      </w:r>
    </w:p>
    <w:sectPr w:rsidR="00B70950" w:rsidRPr="00B45FA7" w:rsidSect="00F333DA">
      <w:headerReference w:type="default" r:id="rId11"/>
      <w:footerReference w:type="default" r:id="rId12"/>
      <w:pgSz w:w="11906" w:h="16838"/>
      <w:pgMar w:top="2381" w:right="1134" w:bottom="1622" w:left="2631" w:header="1134" w:footer="1134"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2E8A2" w14:textId="77777777" w:rsidR="009B25FD" w:rsidRDefault="009B25FD">
      <w:r>
        <w:separator/>
      </w:r>
    </w:p>
  </w:endnote>
  <w:endnote w:type="continuationSeparator" w:id="0">
    <w:p w14:paraId="1C0B2F7F" w14:textId="77777777" w:rsidR="009B25FD" w:rsidRDefault="009B2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panose1 w:val="020B0604020202020204"/>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11DB7" w14:textId="502D28E1"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color w:val="1D4090"/>
        <w:sz w:val="18"/>
        <w:szCs w:val="18"/>
      </w:rPr>
      <w:t xml:space="preserve">V Praze dne </w:t>
    </w:r>
    <w:r w:rsidR="00DA7B32">
      <w:rPr>
        <w:rFonts w:ascii="Arial" w:eastAsia="Arial" w:hAnsi="Arial" w:cs="Arial"/>
        <w:color w:val="1D4090"/>
        <w:sz w:val="18"/>
        <w:szCs w:val="18"/>
      </w:rPr>
      <w:t>24</w:t>
    </w:r>
    <w:r>
      <w:rPr>
        <w:rFonts w:ascii="Arial" w:eastAsia="Arial" w:hAnsi="Arial" w:cs="Arial"/>
        <w:color w:val="1D4090"/>
        <w:sz w:val="18"/>
        <w:szCs w:val="18"/>
      </w:rPr>
      <w:t>.</w:t>
    </w:r>
    <w:r w:rsidR="00637D21">
      <w:rPr>
        <w:rFonts w:ascii="Arial" w:eastAsia="Arial" w:hAnsi="Arial" w:cs="Arial"/>
        <w:color w:val="1D4090"/>
        <w:sz w:val="18"/>
        <w:szCs w:val="18"/>
      </w:rPr>
      <w:t xml:space="preserve"> </w:t>
    </w:r>
    <w:r w:rsidR="00B7318D">
      <w:rPr>
        <w:rFonts w:ascii="Arial" w:eastAsia="Arial" w:hAnsi="Arial" w:cs="Arial"/>
        <w:color w:val="1D4090"/>
        <w:sz w:val="18"/>
        <w:szCs w:val="18"/>
      </w:rPr>
      <w:t>3</w:t>
    </w:r>
    <w:r>
      <w:rPr>
        <w:rFonts w:ascii="Arial" w:eastAsia="Arial" w:hAnsi="Arial" w:cs="Arial"/>
        <w:color w:val="1D4090"/>
        <w:sz w:val="18"/>
        <w:szCs w:val="18"/>
      </w:rPr>
      <w:t>. 202</w:t>
    </w:r>
    <w:r w:rsidR="0010368D">
      <w:rPr>
        <w:rFonts w:ascii="Arial" w:eastAsia="Arial" w:hAnsi="Arial" w:cs="Arial"/>
        <w:color w:val="1D4090"/>
        <w:sz w:val="18"/>
        <w:szCs w:val="18"/>
      </w:rPr>
      <w:t>6</w:t>
    </w:r>
    <w:r>
      <w:rPr>
        <w:rFonts w:ascii="Arial" w:eastAsia="Arial" w:hAnsi="Arial" w:cs="Arial"/>
        <w:color w:val="1D4090"/>
        <w:sz w:val="18"/>
        <w:szCs w:val="18"/>
      </w:rPr>
      <w:t xml:space="preserve">                                                                                                    Strana </w:t>
    </w:r>
    <w:r>
      <w:rPr>
        <w:rFonts w:ascii="Arial" w:eastAsia="Arial" w:hAnsi="Arial" w:cs="Arial"/>
        <w:color w:val="1D4090"/>
        <w:sz w:val="18"/>
        <w:szCs w:val="18"/>
      </w:rPr>
      <w:fldChar w:fldCharType="begin"/>
    </w:r>
    <w:r>
      <w:rPr>
        <w:rFonts w:ascii="Arial" w:eastAsia="Arial" w:hAnsi="Arial" w:cs="Arial"/>
        <w:color w:val="1D4090"/>
        <w:sz w:val="18"/>
        <w:szCs w:val="18"/>
      </w:rPr>
      <w:instrText>PAGE</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1</w:t>
    </w:r>
    <w:r>
      <w:rPr>
        <w:rFonts w:ascii="Arial" w:eastAsia="Arial" w:hAnsi="Arial" w:cs="Arial"/>
        <w:color w:val="1D4090"/>
        <w:sz w:val="18"/>
        <w:szCs w:val="18"/>
      </w:rPr>
      <w:fldChar w:fldCharType="end"/>
    </w:r>
    <w:r>
      <w:rPr>
        <w:rFonts w:ascii="Arial" w:eastAsia="Arial" w:hAnsi="Arial" w:cs="Arial"/>
        <w:color w:val="1D4090"/>
        <w:sz w:val="18"/>
        <w:szCs w:val="18"/>
      </w:rPr>
      <w:t>/</w:t>
    </w:r>
    <w:r>
      <w:rPr>
        <w:rFonts w:ascii="Arial" w:eastAsia="Arial" w:hAnsi="Arial" w:cs="Arial"/>
        <w:color w:val="1D4090"/>
        <w:sz w:val="18"/>
        <w:szCs w:val="18"/>
      </w:rPr>
      <w:fldChar w:fldCharType="begin"/>
    </w:r>
    <w:r>
      <w:rPr>
        <w:rFonts w:ascii="Arial" w:eastAsia="Arial" w:hAnsi="Arial" w:cs="Arial"/>
        <w:color w:val="1D4090"/>
        <w:sz w:val="18"/>
        <w:szCs w:val="18"/>
      </w:rPr>
      <w:instrText>NUMPAGES</w:instrText>
    </w:r>
    <w:r>
      <w:rPr>
        <w:rFonts w:ascii="Arial" w:eastAsia="Arial" w:hAnsi="Arial" w:cs="Arial"/>
        <w:color w:val="1D4090"/>
        <w:sz w:val="18"/>
        <w:szCs w:val="18"/>
      </w:rPr>
      <w:fldChar w:fldCharType="separate"/>
    </w:r>
    <w:r w:rsidR="00881A54">
      <w:rPr>
        <w:rFonts w:ascii="Arial" w:eastAsia="Arial" w:hAnsi="Arial" w:cs="Arial"/>
        <w:noProof/>
        <w:color w:val="1D4090"/>
        <w:sz w:val="18"/>
        <w:szCs w:val="18"/>
      </w:rPr>
      <w:t>2</w:t>
    </w:r>
    <w:r>
      <w:rPr>
        <w:rFonts w:ascii="Arial" w:eastAsia="Arial" w:hAnsi="Arial" w:cs="Arial"/>
        <w:color w:val="1D409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E018F" w14:textId="77777777" w:rsidR="009B25FD" w:rsidRDefault="009B25FD">
      <w:r>
        <w:separator/>
      </w:r>
    </w:p>
  </w:footnote>
  <w:footnote w:type="continuationSeparator" w:id="0">
    <w:p w14:paraId="1A408DDD" w14:textId="77777777" w:rsidR="009B25FD" w:rsidRDefault="009B25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F1E83" w14:textId="77777777" w:rsidR="00B70950" w:rsidRDefault="00000000">
    <w:pPr>
      <w:pBdr>
        <w:top w:val="nil"/>
        <w:left w:val="nil"/>
        <w:bottom w:val="nil"/>
        <w:right w:val="nil"/>
        <w:between w:val="nil"/>
      </w:pBdr>
      <w:tabs>
        <w:tab w:val="center" w:pos="4819"/>
        <w:tab w:val="right" w:pos="9638"/>
      </w:tabs>
      <w:rPr>
        <w:rFonts w:ascii="Liberation Serif" w:eastAsia="Liberation Serif" w:hAnsi="Liberation Serif" w:cs="Liberation Serif"/>
        <w:color w:val="000000"/>
        <w:sz w:val="24"/>
        <w:szCs w:val="24"/>
      </w:rPr>
    </w:pPr>
    <w:r>
      <w:rPr>
        <w:rFonts w:ascii="Arial" w:eastAsia="Arial" w:hAnsi="Arial" w:cs="Arial"/>
        <w:b/>
        <w:color w:val="CA171B"/>
        <w:sz w:val="28"/>
        <w:szCs w:val="28"/>
      </w:rPr>
      <w:t>TISKOVÁ ZPRÁVA</w:t>
    </w:r>
    <w:r>
      <w:rPr>
        <w:noProof/>
      </w:rPr>
      <w:drawing>
        <wp:anchor distT="0" distB="0" distL="0" distR="0" simplePos="0" relativeHeight="251658240" behindDoc="0" locked="0" layoutInCell="1" hidden="0" allowOverlap="1" wp14:anchorId="74DCCCBF" wp14:editId="55A7B3CC">
          <wp:simplePos x="0" y="0"/>
          <wp:positionH relativeFrom="column">
            <wp:posOffset>3503929</wp:posOffset>
          </wp:positionH>
          <wp:positionV relativeFrom="paragraph">
            <wp:posOffset>-20319</wp:posOffset>
          </wp:positionV>
          <wp:extent cx="1631315" cy="316230"/>
          <wp:effectExtent l="0" t="0" r="0" b="0"/>
          <wp:wrapSquare wrapText="bothSides" distT="0" distB="0" distL="0" distR="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31315" cy="316230"/>
                  </a:xfrm>
                  <a:prstGeom prst="rect">
                    <a:avLst/>
                  </a:prstGeom>
                  <a:ln/>
                </pic:spPr>
              </pic:pic>
            </a:graphicData>
          </a:graphic>
        </wp:anchor>
      </w:drawing>
    </w:r>
    <w:r>
      <w:rPr>
        <w:noProof/>
      </w:rPr>
      <w:drawing>
        <wp:anchor distT="0" distB="0" distL="0" distR="0" simplePos="0" relativeHeight="251659264" behindDoc="0" locked="0" layoutInCell="1" hidden="0" allowOverlap="1" wp14:anchorId="1DA96F0E" wp14:editId="08162CAE">
          <wp:simplePos x="0" y="0"/>
          <wp:positionH relativeFrom="column">
            <wp:posOffset>-1671954</wp:posOffset>
          </wp:positionH>
          <wp:positionV relativeFrom="paragraph">
            <wp:posOffset>-720089</wp:posOffset>
          </wp:positionV>
          <wp:extent cx="106680" cy="10691495"/>
          <wp:effectExtent l="0" t="0" r="0" b="0"/>
          <wp:wrapSquare wrapText="bothSides" distT="0" distB="0" distL="0" distR="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6680" cy="106914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F3704"/>
    <w:multiLevelType w:val="multilevel"/>
    <w:tmpl w:val="BC103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332EB3"/>
    <w:multiLevelType w:val="hybridMultilevel"/>
    <w:tmpl w:val="AFDAD2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559368243">
    <w:abstractNumId w:val="0"/>
  </w:num>
  <w:num w:numId="2" w16cid:durableId="1189296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950"/>
    <w:rsid w:val="00012112"/>
    <w:rsid w:val="000775C2"/>
    <w:rsid w:val="000B2972"/>
    <w:rsid w:val="000B5DB2"/>
    <w:rsid w:val="000C614B"/>
    <w:rsid w:val="0010368D"/>
    <w:rsid w:val="00130BC5"/>
    <w:rsid w:val="0013381B"/>
    <w:rsid w:val="0031775B"/>
    <w:rsid w:val="003941C5"/>
    <w:rsid w:val="003C3F3A"/>
    <w:rsid w:val="003C7E37"/>
    <w:rsid w:val="003E1CAA"/>
    <w:rsid w:val="004C2494"/>
    <w:rsid w:val="00515A44"/>
    <w:rsid w:val="0053251F"/>
    <w:rsid w:val="00561EBB"/>
    <w:rsid w:val="005A6DB3"/>
    <w:rsid w:val="005C7E36"/>
    <w:rsid w:val="00637D21"/>
    <w:rsid w:val="00667172"/>
    <w:rsid w:val="006965B3"/>
    <w:rsid w:val="006D08E9"/>
    <w:rsid w:val="006D11BA"/>
    <w:rsid w:val="00704DC0"/>
    <w:rsid w:val="00705C57"/>
    <w:rsid w:val="007342C5"/>
    <w:rsid w:val="00791504"/>
    <w:rsid w:val="00823B24"/>
    <w:rsid w:val="008324A1"/>
    <w:rsid w:val="00843067"/>
    <w:rsid w:val="00862616"/>
    <w:rsid w:val="008703DC"/>
    <w:rsid w:val="00875B58"/>
    <w:rsid w:val="00880F11"/>
    <w:rsid w:val="00881A54"/>
    <w:rsid w:val="00985B5F"/>
    <w:rsid w:val="009B25FD"/>
    <w:rsid w:val="00A014E1"/>
    <w:rsid w:val="00A26E4F"/>
    <w:rsid w:val="00A27CF6"/>
    <w:rsid w:val="00A506EB"/>
    <w:rsid w:val="00A67471"/>
    <w:rsid w:val="00A67AB1"/>
    <w:rsid w:val="00B01DF7"/>
    <w:rsid w:val="00B2380D"/>
    <w:rsid w:val="00B32FAC"/>
    <w:rsid w:val="00B45FA7"/>
    <w:rsid w:val="00B46A74"/>
    <w:rsid w:val="00B63ACC"/>
    <w:rsid w:val="00B70950"/>
    <w:rsid w:val="00B7110D"/>
    <w:rsid w:val="00B7318D"/>
    <w:rsid w:val="00BB6659"/>
    <w:rsid w:val="00BE15F9"/>
    <w:rsid w:val="00C26214"/>
    <w:rsid w:val="00CA3ECF"/>
    <w:rsid w:val="00CE08BA"/>
    <w:rsid w:val="00CF0768"/>
    <w:rsid w:val="00CF5565"/>
    <w:rsid w:val="00D2759E"/>
    <w:rsid w:val="00D46889"/>
    <w:rsid w:val="00D6798E"/>
    <w:rsid w:val="00DA7B32"/>
    <w:rsid w:val="00DB0C51"/>
    <w:rsid w:val="00E00942"/>
    <w:rsid w:val="00E621B0"/>
    <w:rsid w:val="00E64591"/>
    <w:rsid w:val="00EA241D"/>
    <w:rsid w:val="00F15650"/>
    <w:rsid w:val="00F31E37"/>
    <w:rsid w:val="00F333DA"/>
    <w:rsid w:val="00F56553"/>
    <w:rsid w:val="00F976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307CD"/>
  <w15:docId w15:val="{22B8E495-2DD7-EB45-AC76-A43F1B14D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Hypertextovodkaz">
    <w:name w:val="Hyperlink"/>
    <w:basedOn w:val="Standardnpsmoodstavce"/>
    <w:uiPriority w:val="99"/>
    <w:unhideWhenUsed/>
    <w:rsid w:val="00637D21"/>
    <w:rPr>
      <w:color w:val="0000FF" w:themeColor="hyperlink"/>
      <w:u w:val="single"/>
    </w:rPr>
  </w:style>
  <w:style w:type="character" w:styleId="Nevyeenzmnka">
    <w:name w:val="Unresolved Mention"/>
    <w:basedOn w:val="Standardnpsmoodstavce"/>
    <w:uiPriority w:val="99"/>
    <w:semiHidden/>
    <w:unhideWhenUsed/>
    <w:rsid w:val="00637D21"/>
    <w:rPr>
      <w:color w:val="605E5C"/>
      <w:shd w:val="clear" w:color="auto" w:fill="E1DFDD"/>
    </w:rPr>
  </w:style>
  <w:style w:type="paragraph" w:styleId="Zhlav">
    <w:name w:val="header"/>
    <w:basedOn w:val="Normln"/>
    <w:link w:val="ZhlavChar"/>
    <w:uiPriority w:val="99"/>
    <w:unhideWhenUsed/>
    <w:rsid w:val="00637D21"/>
    <w:pPr>
      <w:tabs>
        <w:tab w:val="center" w:pos="4536"/>
        <w:tab w:val="right" w:pos="9072"/>
      </w:tabs>
    </w:pPr>
  </w:style>
  <w:style w:type="character" w:customStyle="1" w:styleId="ZhlavChar">
    <w:name w:val="Záhlaví Char"/>
    <w:basedOn w:val="Standardnpsmoodstavce"/>
    <w:link w:val="Zhlav"/>
    <w:uiPriority w:val="99"/>
    <w:rsid w:val="00637D21"/>
  </w:style>
  <w:style w:type="paragraph" w:styleId="Zpat">
    <w:name w:val="footer"/>
    <w:basedOn w:val="Normln"/>
    <w:link w:val="ZpatChar"/>
    <w:uiPriority w:val="99"/>
    <w:unhideWhenUsed/>
    <w:rsid w:val="00637D21"/>
    <w:pPr>
      <w:tabs>
        <w:tab w:val="center" w:pos="4536"/>
        <w:tab w:val="right" w:pos="9072"/>
      </w:tabs>
    </w:pPr>
  </w:style>
  <w:style w:type="character" w:customStyle="1" w:styleId="ZpatChar">
    <w:name w:val="Zápatí Char"/>
    <w:basedOn w:val="Standardnpsmoodstavce"/>
    <w:link w:val="Zpat"/>
    <w:uiPriority w:val="99"/>
    <w:rsid w:val="00637D21"/>
  </w:style>
  <w:style w:type="paragraph" w:styleId="Normlnweb">
    <w:name w:val="Normal (Web)"/>
    <w:basedOn w:val="Normln"/>
    <w:uiPriority w:val="99"/>
    <w:semiHidden/>
    <w:unhideWhenUsed/>
    <w:rsid w:val="00CA3ECF"/>
    <w:pPr>
      <w:spacing w:before="100" w:beforeAutospacing="1" w:after="100" w:afterAutospacing="1"/>
    </w:pPr>
    <w:rPr>
      <w:sz w:val="24"/>
      <w:szCs w:val="24"/>
    </w:rPr>
  </w:style>
  <w:style w:type="paragraph" w:styleId="Odstavecseseznamem">
    <w:name w:val="List Paragraph"/>
    <w:basedOn w:val="Normln"/>
    <w:uiPriority w:val="34"/>
    <w:qFormat/>
    <w:rsid w:val="001036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48891">
      <w:bodyDiv w:val="1"/>
      <w:marLeft w:val="0"/>
      <w:marRight w:val="0"/>
      <w:marTop w:val="0"/>
      <w:marBottom w:val="0"/>
      <w:divBdr>
        <w:top w:val="none" w:sz="0" w:space="0" w:color="auto"/>
        <w:left w:val="none" w:sz="0" w:space="0" w:color="auto"/>
        <w:bottom w:val="none" w:sz="0" w:space="0" w:color="auto"/>
        <w:right w:val="none" w:sz="0" w:space="0" w:color="auto"/>
      </w:divBdr>
    </w:div>
    <w:div w:id="153693118">
      <w:bodyDiv w:val="1"/>
      <w:marLeft w:val="0"/>
      <w:marRight w:val="0"/>
      <w:marTop w:val="0"/>
      <w:marBottom w:val="0"/>
      <w:divBdr>
        <w:top w:val="none" w:sz="0" w:space="0" w:color="auto"/>
        <w:left w:val="none" w:sz="0" w:space="0" w:color="auto"/>
        <w:bottom w:val="none" w:sz="0" w:space="0" w:color="auto"/>
        <w:right w:val="none" w:sz="0" w:space="0" w:color="auto"/>
      </w:divBdr>
    </w:div>
    <w:div w:id="1073238680">
      <w:bodyDiv w:val="1"/>
      <w:marLeft w:val="0"/>
      <w:marRight w:val="0"/>
      <w:marTop w:val="0"/>
      <w:marBottom w:val="0"/>
      <w:divBdr>
        <w:top w:val="none" w:sz="0" w:space="0" w:color="auto"/>
        <w:left w:val="none" w:sz="0" w:space="0" w:color="auto"/>
        <w:bottom w:val="none" w:sz="0" w:space="0" w:color="auto"/>
        <w:right w:val="none" w:sz="0" w:space="0" w:color="auto"/>
      </w:divBdr>
      <w:divsChild>
        <w:div w:id="106950001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ichal.hoblik@aspen.pr" TargetMode="External"/><Relationship Id="rId4" Type="http://schemas.openxmlformats.org/officeDocument/2006/relationships/webSettings" Target="webSettings.xml"/><Relationship Id="rId9" Type="http://schemas.openxmlformats.org/officeDocument/2006/relationships/hyperlink" Target="mailto:petr.jarkovsky@aspen.p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943</Words>
  <Characters>5566</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Michal Hoblík</cp:lastModifiedBy>
  <cp:revision>4</cp:revision>
  <cp:lastPrinted>2025-04-30T08:20:00Z</cp:lastPrinted>
  <dcterms:created xsi:type="dcterms:W3CDTF">2026-03-24T10:43:00Z</dcterms:created>
  <dcterms:modified xsi:type="dcterms:W3CDTF">2026-03-24T10:51:00Z</dcterms:modified>
</cp:coreProperties>
</file>