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B4639" w14:textId="50540D5E" w:rsidR="0010368D" w:rsidRPr="00B01DF7" w:rsidRDefault="00B7318D" w:rsidP="00B01DF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ajorHAnsi" w:eastAsia="Calibri" w:hAnsiTheme="majorHAnsi" w:cstheme="majorHAnsi"/>
          <w:b/>
          <w:color w:val="1D4090"/>
          <w:sz w:val="28"/>
          <w:szCs w:val="28"/>
        </w:rPr>
      </w:pPr>
      <w:r w:rsidRPr="00B7318D">
        <w:rPr>
          <w:rFonts w:asciiTheme="majorHAnsi" w:eastAsia="Calibri" w:hAnsiTheme="majorHAnsi" w:cstheme="majorHAnsi"/>
          <w:b/>
          <w:color w:val="1D4090"/>
          <w:sz w:val="28"/>
          <w:szCs w:val="28"/>
        </w:rPr>
        <w:t>Průměrná mzda loni vzrostla na 49</w:t>
      </w:r>
      <w:r>
        <w:rPr>
          <w:rFonts w:asciiTheme="majorHAnsi" w:eastAsia="Calibri" w:hAnsiTheme="majorHAnsi" w:cstheme="majorHAnsi"/>
          <w:b/>
          <w:color w:val="1D4090"/>
          <w:sz w:val="28"/>
          <w:szCs w:val="28"/>
        </w:rPr>
        <w:t xml:space="preserve"> </w:t>
      </w:r>
      <w:r w:rsidRPr="00B7318D">
        <w:rPr>
          <w:rFonts w:asciiTheme="majorHAnsi" w:eastAsia="Calibri" w:hAnsiTheme="majorHAnsi" w:cstheme="majorHAnsi"/>
          <w:b/>
          <w:color w:val="1D4090"/>
          <w:sz w:val="28"/>
          <w:szCs w:val="28"/>
        </w:rPr>
        <w:t>215 Kč</w:t>
      </w:r>
      <w:r>
        <w:rPr>
          <w:rFonts w:asciiTheme="majorHAnsi" w:eastAsia="Calibri" w:hAnsiTheme="majorHAnsi" w:cstheme="majorHAnsi"/>
          <w:b/>
          <w:color w:val="1D4090"/>
          <w:sz w:val="28"/>
          <w:szCs w:val="28"/>
        </w:rPr>
        <w:t>.</w:t>
      </w:r>
      <w:r w:rsidRPr="00B7318D">
        <w:rPr>
          <w:rFonts w:asciiTheme="majorHAnsi" w:eastAsia="Calibri" w:hAnsiTheme="majorHAnsi" w:cstheme="majorHAnsi"/>
          <w:b/>
          <w:color w:val="1D4090"/>
          <w:sz w:val="28"/>
          <w:szCs w:val="28"/>
        </w:rPr>
        <w:t xml:space="preserve"> </w:t>
      </w:r>
      <w:r>
        <w:rPr>
          <w:rFonts w:asciiTheme="majorHAnsi" w:eastAsia="Calibri" w:hAnsiTheme="majorHAnsi" w:cstheme="majorHAnsi"/>
          <w:b/>
          <w:color w:val="1D4090"/>
          <w:sz w:val="28"/>
          <w:szCs w:val="28"/>
        </w:rPr>
        <w:t>B</w:t>
      </w:r>
      <w:r w:rsidRPr="00B7318D">
        <w:rPr>
          <w:rFonts w:asciiTheme="majorHAnsi" w:eastAsia="Calibri" w:hAnsiTheme="majorHAnsi" w:cstheme="majorHAnsi"/>
          <w:b/>
          <w:color w:val="1D4090"/>
          <w:sz w:val="28"/>
          <w:szCs w:val="28"/>
        </w:rPr>
        <w:t>ez strukturálních opatření však zůstane nedostatečný pro skutečné vyrovnání regionálních rozdílů</w:t>
      </w:r>
      <w:r>
        <w:rPr>
          <w:rFonts w:asciiTheme="majorHAnsi" w:eastAsia="Calibri" w:hAnsiTheme="majorHAnsi" w:cstheme="majorHAnsi"/>
          <w:b/>
          <w:color w:val="1D4090"/>
          <w:sz w:val="28"/>
          <w:szCs w:val="28"/>
        </w:rPr>
        <w:t>, říká Michal Španěl z JenPráce.cz</w:t>
      </w:r>
      <w:r w:rsidR="00B01DF7">
        <w:rPr>
          <w:rFonts w:asciiTheme="majorHAnsi" w:eastAsia="Calibri" w:hAnsiTheme="majorHAnsi" w:cstheme="majorHAnsi"/>
          <w:b/>
          <w:color w:val="1D4090"/>
          <w:sz w:val="28"/>
          <w:szCs w:val="28"/>
        </w:rPr>
        <w:br/>
      </w:r>
    </w:p>
    <w:p w14:paraId="5D9E6690" w14:textId="14C0BEFF" w:rsidR="00B01DF7" w:rsidRDefault="00B7318D">
      <w:pPr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</w:pPr>
      <w:r w:rsidRPr="00B7318D"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  <w:t>Průměrná mzda v Česku loni vzrostla o 7,2 procenta na 49.215 korun. Reálně při zohlednění inflace se mzdy zvýšily o 4,6 procenta, uvedl Český statistický úřad (ČSÚ)</w:t>
      </w:r>
      <w:r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  <w:t>. M</w:t>
      </w:r>
      <w:r w:rsidRPr="00B7318D"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  <w:t>zdy</w:t>
      </w:r>
      <w:r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  <w:t xml:space="preserve"> se</w:t>
      </w:r>
      <w:r w:rsidRPr="00B7318D"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  <w:t xml:space="preserve"> přiblížily úrovni z roku 2019, tedy před pandemií a následnou inflační vlnou. Letos by tuto úroveň měly překonat.</w:t>
      </w:r>
    </w:p>
    <w:p w14:paraId="025180D4" w14:textId="77777777" w:rsidR="00B7318D" w:rsidRDefault="00B7318D">
      <w:pPr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</w:pPr>
    </w:p>
    <w:p w14:paraId="1916D4F4" w14:textId="77777777" w:rsidR="00B7318D" w:rsidRPr="00B7318D" w:rsidRDefault="00B7318D" w:rsidP="00B7318D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  <w:r w:rsidRPr="00B7318D">
        <w:rPr>
          <w:rFonts w:asciiTheme="majorHAnsi" w:eastAsia="Calibri" w:hAnsiTheme="majorHAnsi" w:cstheme="majorHAnsi"/>
          <w:color w:val="242E59"/>
          <w:sz w:val="22"/>
          <w:szCs w:val="22"/>
        </w:rPr>
        <w:t>I nadále přetrvávaly regionální rozdíly ve výši mezd. Nad celostátním průměrem byly loni mzdy pouze v Praze a ve Středočeském kraji. V Praze dosáhla průměrná mzda 62.723 korun, ve Středočeském kraji 49.539 korun. Nejnižší mzdy pobírali zaměstnanci v Karlovarském kraji, kde byl průměr 42.049 korun.</w:t>
      </w:r>
    </w:p>
    <w:p w14:paraId="1BF462B8" w14:textId="77777777" w:rsidR="00B7318D" w:rsidRPr="00B7318D" w:rsidRDefault="00B7318D" w:rsidP="00B7318D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</w:p>
    <w:p w14:paraId="64210321" w14:textId="097BEAAA" w:rsidR="00B7318D" w:rsidRPr="00B01DF7" w:rsidRDefault="00B7318D" w:rsidP="00B7318D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  <w:r w:rsidRPr="00B7318D">
        <w:rPr>
          <w:rFonts w:asciiTheme="majorHAnsi" w:eastAsia="Calibri" w:hAnsiTheme="majorHAnsi" w:cstheme="majorHAnsi"/>
          <w:color w:val="242E59"/>
          <w:sz w:val="22"/>
          <w:szCs w:val="22"/>
        </w:rPr>
        <w:t>Praha přitom byla regionem s nejdynamičtějším růstem mezd, když se zvýšily o 7,9 procenta. Karlovarský kraj patřil s růstem o 6,1 procenta mezi tři regiony, kde se mzdy zvyšovaly nejpomaleji. Nejméně dostali přidáno zaměstnanci v Libereckém kraji, kde se průměrná mzda zvýšila o 5,8 procenta na 43.967 korun.</w:t>
      </w:r>
    </w:p>
    <w:p w14:paraId="4A1AFC6C" w14:textId="77777777" w:rsidR="00B01DF7" w:rsidRPr="00B01DF7" w:rsidRDefault="00B01DF7" w:rsidP="00B01DF7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</w:p>
    <w:p w14:paraId="1D217EA1" w14:textId="303CCC5E" w:rsidR="006965B3" w:rsidRPr="00B45FA7" w:rsidRDefault="00B7318D" w:rsidP="006965B3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  <w:r w:rsidRPr="00B7318D">
        <w:rPr>
          <w:rFonts w:asciiTheme="majorHAnsi" w:eastAsia="Calibri" w:hAnsiTheme="majorHAnsi" w:cstheme="majorHAnsi"/>
          <w:color w:val="242E59"/>
          <w:sz w:val="22"/>
          <w:szCs w:val="22"/>
        </w:rPr>
        <w:drawing>
          <wp:inline distT="0" distB="0" distL="0" distR="0" wp14:anchorId="27790F70" wp14:editId="346BCBEF">
            <wp:extent cx="5265420" cy="3408667"/>
            <wp:effectExtent l="0" t="0" r="5080" b="0"/>
            <wp:docPr id="193015677" name="Obrázek 1" descr="Obsah obrázku text, diagram, snímek obrazovky, Písmo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15677" name="Obrázek 1" descr="Obsah obrázku text, diagram, snímek obrazovky, Písmo&#10;&#10;Obsah generovaný pomocí AI může být nesprávný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92470" cy="3426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93CDEF" w14:textId="77777777" w:rsidR="003C3F3A" w:rsidRDefault="003C3F3A">
      <w:pPr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</w:pPr>
    </w:p>
    <w:p w14:paraId="51839AC0" w14:textId="430F4340" w:rsidR="006965B3" w:rsidRPr="00B45FA7" w:rsidRDefault="00B45FA7">
      <w:pPr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</w:pPr>
      <w:r w:rsidRPr="00B45FA7"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  <w:t>Komentář Michala Španěla</w:t>
      </w:r>
      <w:r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  <w:t xml:space="preserve"> z JenPráce.cz</w:t>
      </w:r>
      <w:r w:rsidR="0010368D"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  <w:t xml:space="preserve"> </w:t>
      </w:r>
    </w:p>
    <w:p w14:paraId="7D3D873C" w14:textId="74DD8941" w:rsidR="00B7318D" w:rsidRDefault="003C3F3A" w:rsidP="00B7318D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  <w:r>
        <w:rPr>
          <w:rFonts w:asciiTheme="majorHAnsi" w:eastAsia="Calibri" w:hAnsiTheme="majorHAnsi" w:cstheme="majorHAnsi"/>
          <w:color w:val="242E59"/>
          <w:sz w:val="22"/>
          <w:szCs w:val="22"/>
        </w:rPr>
        <w:t>Rů</w:t>
      </w:r>
      <w:r w:rsidR="00B7318D" w:rsidRPr="00B7318D">
        <w:rPr>
          <w:rFonts w:asciiTheme="majorHAnsi" w:eastAsia="Calibri" w:hAnsiTheme="majorHAnsi" w:cstheme="majorHAnsi"/>
          <w:color w:val="242E59"/>
          <w:sz w:val="22"/>
          <w:szCs w:val="22"/>
        </w:rPr>
        <w:t>st průměrné mzdy o 7,2 % na 49 215 Kč a reálný nárůst o 4,6 % v roce 2025</w:t>
      </w:r>
      <w:r w:rsidR="00B7318D">
        <w:rPr>
          <w:rFonts w:asciiTheme="majorHAnsi" w:eastAsia="Calibri" w:hAnsiTheme="majorHAnsi" w:cstheme="majorHAnsi"/>
          <w:color w:val="242E59"/>
          <w:sz w:val="22"/>
          <w:szCs w:val="22"/>
        </w:rPr>
        <w:t xml:space="preserve"> je</w:t>
      </w:r>
      <w:r w:rsidR="00B7318D" w:rsidRPr="00B7318D">
        <w:rPr>
          <w:rFonts w:asciiTheme="majorHAnsi" w:eastAsia="Calibri" w:hAnsiTheme="majorHAnsi" w:cstheme="majorHAnsi"/>
          <w:color w:val="242E59"/>
          <w:sz w:val="22"/>
          <w:szCs w:val="22"/>
        </w:rPr>
        <w:t xml:space="preserve"> po letech stagnace skutečně dobrá zpráva. Je však třeba si uvědomit, že životní náklady rostly nerovnoměrně. Zatímco celková inflace postupně klesla, ceny energií, bydlení a potravin – které u nízkopříjmových domácností tvoří přibližně 45 až 55 % výdajů – zůstávají výrazně nad předkrizovou úrovní.</w:t>
      </w:r>
    </w:p>
    <w:p w14:paraId="581CAE7C" w14:textId="77777777" w:rsidR="003C3F3A" w:rsidRPr="00B7318D" w:rsidRDefault="003C3F3A" w:rsidP="00B7318D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</w:p>
    <w:p w14:paraId="3C7A0AC3" w14:textId="77777777" w:rsidR="00B7318D" w:rsidRDefault="00B7318D" w:rsidP="00B7318D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  <w:r w:rsidRPr="00B7318D">
        <w:rPr>
          <w:rFonts w:asciiTheme="majorHAnsi" w:eastAsia="Calibri" w:hAnsiTheme="majorHAnsi" w:cstheme="majorHAnsi"/>
          <w:color w:val="242E59"/>
          <w:sz w:val="22"/>
          <w:szCs w:val="22"/>
        </w:rPr>
        <w:t>Energetická krize v letech 2022–2024 výrazně oslabila finanční rezervy právě těchto domácností. Nominální úspory se sice na předkrizovou úroveň vrátily až v roce 2025, jejich reálná kupní síla však zůstává výrazně nižší – přibližně na dvou třetinách hodnoty z roku 2021. Rozpočty řady domácností se proto dosud plně nevzpamatovaly.</w:t>
      </w:r>
    </w:p>
    <w:p w14:paraId="76EF7D5A" w14:textId="77777777" w:rsidR="00B7318D" w:rsidRPr="00B7318D" w:rsidRDefault="00B7318D" w:rsidP="00B7318D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</w:p>
    <w:p w14:paraId="30FBA399" w14:textId="77777777" w:rsidR="00B7318D" w:rsidRDefault="00B7318D" w:rsidP="00B7318D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  <w:r w:rsidRPr="00B7318D">
        <w:rPr>
          <w:rFonts w:asciiTheme="majorHAnsi" w:eastAsia="Calibri" w:hAnsiTheme="majorHAnsi" w:cstheme="majorHAnsi"/>
          <w:color w:val="242E59"/>
          <w:sz w:val="22"/>
          <w:szCs w:val="22"/>
        </w:rPr>
        <w:t>Výrazná je také regionální nerovnováha. Zatímco v Praze průměrná mzda přesahuje 61 až 68 tisíc korun, tedy o více než 25 % nad celorepublikovým průměrem, v Karlovarském kraji se pohybuje kolem 41 až 42 tisíc korun. Inflační šok let 2022–2024 dopadl na regiony mimo metropole výrazně tvrději. Vyšší relativní podíl výdajů na bydlení a energie tam způsobil hlubší reálný pokles kupní síly. Agregovaný pohled z Prahy tak může zkreslovat realitu v Ústeckém, Karlovarském či dalších periferních krajích.</w:t>
      </w:r>
    </w:p>
    <w:p w14:paraId="575D30BB" w14:textId="77777777" w:rsidR="00B7318D" w:rsidRPr="00B7318D" w:rsidRDefault="00B7318D" w:rsidP="00B7318D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</w:p>
    <w:p w14:paraId="40BFE65F" w14:textId="77777777" w:rsidR="00B7318D" w:rsidRDefault="00B7318D" w:rsidP="00B7318D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  <w:r w:rsidRPr="00B7318D">
        <w:rPr>
          <w:rFonts w:asciiTheme="majorHAnsi" w:eastAsia="Calibri" w:hAnsiTheme="majorHAnsi" w:cstheme="majorHAnsi"/>
          <w:color w:val="242E59"/>
          <w:sz w:val="22"/>
          <w:szCs w:val="22"/>
        </w:rPr>
        <w:t>Růst mezd je tedy pozitivní, bez strukturálních opatření však zůstane nedostatečný pro skutečné vyrovnání regionálních rozdílů. Klíčové budou zejména investice do regionů, dopravní infrastruktury i dostupnosti pracovních příležitostí.</w:t>
      </w:r>
    </w:p>
    <w:p w14:paraId="3FFD01FD" w14:textId="77777777" w:rsidR="00B7318D" w:rsidRPr="00B7318D" w:rsidRDefault="00B7318D" w:rsidP="00B7318D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</w:p>
    <w:p w14:paraId="187AA61F" w14:textId="77777777" w:rsidR="00B7318D" w:rsidRDefault="00B7318D" w:rsidP="00B7318D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  <w:r w:rsidRPr="00B7318D">
        <w:rPr>
          <w:rFonts w:asciiTheme="majorHAnsi" w:eastAsia="Calibri" w:hAnsiTheme="majorHAnsi" w:cstheme="majorHAnsi"/>
          <w:color w:val="242E59"/>
          <w:sz w:val="22"/>
          <w:szCs w:val="22"/>
        </w:rPr>
        <w:t xml:space="preserve">Dalším rizikem je možný návrat růstu energetických nákladů v souvislosti s eskalujícím íránským konfliktem. Ceny ropy a plynu již nyní rostou a případné omezení dodávek přes </w:t>
      </w:r>
      <w:proofErr w:type="spellStart"/>
      <w:r w:rsidRPr="00B7318D">
        <w:rPr>
          <w:rFonts w:asciiTheme="majorHAnsi" w:eastAsia="Calibri" w:hAnsiTheme="majorHAnsi" w:cstheme="majorHAnsi"/>
          <w:color w:val="242E59"/>
          <w:sz w:val="22"/>
          <w:szCs w:val="22"/>
        </w:rPr>
        <w:t>Hormuzský</w:t>
      </w:r>
      <w:proofErr w:type="spellEnd"/>
      <w:r w:rsidRPr="00B7318D">
        <w:rPr>
          <w:rFonts w:asciiTheme="majorHAnsi" w:eastAsia="Calibri" w:hAnsiTheme="majorHAnsi" w:cstheme="majorHAnsi"/>
          <w:color w:val="242E59"/>
          <w:sz w:val="22"/>
          <w:szCs w:val="22"/>
        </w:rPr>
        <w:t xml:space="preserve"> průplav by mohlo reálný růst mezd opět výrazně oslabit. Většina aktuálních makroekonomických predikcí s tímto rizikem zatím příliš </w:t>
      </w:r>
      <w:proofErr w:type="spellStart"/>
      <w:r w:rsidRPr="00B7318D">
        <w:rPr>
          <w:rFonts w:asciiTheme="majorHAnsi" w:eastAsia="Calibri" w:hAnsiTheme="majorHAnsi" w:cstheme="majorHAnsi"/>
          <w:color w:val="242E59"/>
          <w:sz w:val="22"/>
          <w:szCs w:val="22"/>
        </w:rPr>
        <w:t>nepočítá.</w:t>
      </w:r>
    </w:p>
    <w:p w14:paraId="21F6171F" w14:textId="77777777" w:rsidR="00B7318D" w:rsidRDefault="00B7318D" w:rsidP="00B7318D">
      <w:pPr>
        <w:rPr>
          <w:rFonts w:asciiTheme="majorHAnsi" w:eastAsia="Calibri" w:hAnsiTheme="majorHAnsi" w:cstheme="majorHAnsi"/>
          <w:color w:val="242E59"/>
          <w:sz w:val="22"/>
          <w:szCs w:val="22"/>
        </w:rPr>
      </w:pPr>
      <w:proofErr w:type="spellEnd"/>
    </w:p>
    <w:p w14:paraId="0103D398" w14:textId="3443A3F7" w:rsidR="00B45FA7" w:rsidRPr="00B45FA7" w:rsidRDefault="00B45FA7" w:rsidP="00B7318D">
      <w:pPr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</w:pPr>
      <w:r w:rsidRPr="00B45FA7"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  <w:t>Michal Španěl, manažer a datový analytik pracovního portálu JenPráce.cz</w:t>
      </w:r>
    </w:p>
    <w:p w14:paraId="7E4547F8" w14:textId="27231F39" w:rsidR="000B2972" w:rsidRDefault="00B7110D" w:rsidP="008703DC">
      <w:pPr>
        <w:rPr>
          <w:rFonts w:asciiTheme="majorHAnsi" w:eastAsia="Arial" w:hAnsiTheme="majorHAnsi" w:cstheme="majorHAnsi"/>
          <w:b/>
          <w:color w:val="1C418E"/>
          <w:sz w:val="22"/>
          <w:szCs w:val="22"/>
        </w:rPr>
      </w:pPr>
      <w:r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  <w:br/>
      </w:r>
    </w:p>
    <w:p w14:paraId="32A7C769" w14:textId="77777777" w:rsidR="000B2972" w:rsidRDefault="000B2972" w:rsidP="008703DC">
      <w:pPr>
        <w:rPr>
          <w:rFonts w:asciiTheme="majorHAnsi" w:eastAsia="Arial" w:hAnsiTheme="majorHAnsi" w:cstheme="majorHAnsi"/>
          <w:b/>
          <w:color w:val="1C418E"/>
          <w:sz w:val="22"/>
          <w:szCs w:val="22"/>
        </w:rPr>
      </w:pPr>
    </w:p>
    <w:p w14:paraId="31FEF180" w14:textId="42E6FDEA" w:rsidR="00B70950" w:rsidRPr="00B7110D" w:rsidRDefault="00000000" w:rsidP="008703DC">
      <w:pPr>
        <w:rPr>
          <w:rFonts w:asciiTheme="majorHAnsi" w:eastAsia="Calibri" w:hAnsiTheme="majorHAnsi" w:cstheme="majorHAnsi"/>
          <w:b/>
          <w:bCs/>
          <w:color w:val="242E59"/>
          <w:sz w:val="22"/>
          <w:szCs w:val="22"/>
        </w:rPr>
      </w:pPr>
      <w:r w:rsidRPr="00B45FA7">
        <w:rPr>
          <w:rFonts w:asciiTheme="majorHAnsi" w:eastAsia="Arial" w:hAnsiTheme="majorHAnsi" w:cstheme="majorHAnsi"/>
          <w:b/>
          <w:color w:val="1C418E"/>
          <w:sz w:val="22"/>
          <w:szCs w:val="22"/>
        </w:rPr>
        <w:t>O portálu JenPráce.cz</w:t>
      </w:r>
    </w:p>
    <w:p w14:paraId="1C839245" w14:textId="77777777" w:rsidR="00B70950" w:rsidRPr="00B45FA7" w:rsidRDefault="00B709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Calibri" w:hAnsiTheme="majorHAnsi" w:cstheme="majorHAnsi"/>
          <w:color w:val="242E59"/>
          <w:sz w:val="22"/>
          <w:szCs w:val="22"/>
        </w:rPr>
      </w:pPr>
    </w:p>
    <w:p w14:paraId="7E8F2194" w14:textId="77777777" w:rsidR="00B70950" w:rsidRPr="00B45FA7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 xml:space="preserve">Pracovní portál JenPráce.cz patří mezi největší pracovní portály v České republice a funguje od roku 2013. Stojí za ním společnost </w:t>
      </w:r>
      <w:proofErr w:type="spellStart"/>
      <w:r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>Coweo</w:t>
      </w:r>
      <w:proofErr w:type="spellEnd"/>
      <w:r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 xml:space="preserve"> Technologies a investiční skupina Pale </w:t>
      </w:r>
      <w:proofErr w:type="spellStart"/>
      <w:r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>Fire</w:t>
      </w:r>
      <w:proofErr w:type="spellEnd"/>
      <w:r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 xml:space="preserve"> </w:t>
      </w:r>
      <w:proofErr w:type="spellStart"/>
      <w:r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>Capital</w:t>
      </w:r>
      <w:proofErr w:type="spellEnd"/>
      <w:r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>. Jeho cílem je pomáhat lidem najít lepší práci a firmám poskytovat výhodné a kvalitní služby, které jim ulehčí proces obsazování pracovních pozic a zároveň jim pomohou se rozrůstat.</w:t>
      </w:r>
    </w:p>
    <w:p w14:paraId="540813AA" w14:textId="77777777" w:rsidR="00B70950" w:rsidRPr="00B45FA7" w:rsidRDefault="00B7095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hAnsiTheme="majorHAnsi" w:cstheme="majorHAnsi"/>
          <w:color w:val="000000"/>
          <w:sz w:val="22"/>
          <w:szCs w:val="22"/>
        </w:rPr>
      </w:pPr>
    </w:p>
    <w:p w14:paraId="54E745FC" w14:textId="77777777" w:rsidR="00B70950" w:rsidRPr="00B45FA7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>JenPráce.cz má k dispozici širokou škálu statistik, počínaje rozvrstvením nabídek v jednotlivých krajích, přes četnost nabízených benefitů až například po požadované vzdělání.  </w:t>
      </w:r>
    </w:p>
    <w:p w14:paraId="4774BD99" w14:textId="77777777" w:rsidR="00B70950" w:rsidRPr="00B45FA7" w:rsidRDefault="00B709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Calibri" w:hAnsiTheme="majorHAnsi" w:cstheme="majorHAnsi"/>
          <w:color w:val="242E59"/>
          <w:sz w:val="22"/>
          <w:szCs w:val="22"/>
        </w:rPr>
      </w:pPr>
    </w:p>
    <w:p w14:paraId="649A6362" w14:textId="77777777" w:rsidR="00B70950" w:rsidRPr="00B45FA7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Arial" w:hAnsiTheme="majorHAnsi" w:cstheme="majorHAnsi"/>
          <w:color w:val="242E59"/>
          <w:sz w:val="22"/>
          <w:szCs w:val="22"/>
        </w:rPr>
      </w:pPr>
      <w:r w:rsidRPr="00B45FA7">
        <w:rPr>
          <w:rFonts w:asciiTheme="majorHAnsi" w:hAnsiTheme="majorHAnsi" w:cstheme="majorHAnsi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5927360E" wp14:editId="5051AEF8">
                <wp:simplePos x="0" y="0"/>
                <wp:positionH relativeFrom="column">
                  <wp:posOffset>38101</wp:posOffset>
                </wp:positionH>
                <wp:positionV relativeFrom="paragraph">
                  <wp:posOffset>101600</wp:posOffset>
                </wp:positionV>
                <wp:extent cx="5113020" cy="17625"/>
                <wp:effectExtent l="0" t="0" r="0" b="0"/>
                <wp:wrapNone/>
                <wp:docPr id="1" name="Přímá spojovací šipk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789490" y="3780000"/>
                          <a:ext cx="5113020" cy="0"/>
                        </a:xfrm>
                        <a:prstGeom prst="straightConnector1">
                          <a:avLst/>
                        </a:prstGeom>
                        <a:noFill/>
                        <a:ln w="17625" cap="flat" cmpd="sng">
                          <a:solidFill>
                            <a:srgbClr val="CA171B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38101</wp:posOffset>
                </wp:positionH>
                <wp:positionV relativeFrom="paragraph">
                  <wp:posOffset>101600</wp:posOffset>
                </wp:positionV>
                <wp:extent cx="5113020" cy="17625"/>
                <wp:effectExtent b="0" l="0" r="0" t="0"/>
                <wp:wrapNone/>
                <wp:docPr id="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13020" cy="17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1E38769" w14:textId="77777777" w:rsidR="00B70950" w:rsidRPr="00B45FA7" w:rsidRDefault="00B7095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Arial" w:hAnsiTheme="majorHAnsi" w:cstheme="majorHAnsi"/>
          <w:color w:val="242E59"/>
          <w:sz w:val="22"/>
          <w:szCs w:val="22"/>
        </w:rPr>
      </w:pPr>
    </w:p>
    <w:p w14:paraId="60CE94B2" w14:textId="77777777" w:rsidR="00B70950" w:rsidRPr="00B45FA7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Liberation Serif" w:hAnsiTheme="majorHAnsi" w:cstheme="majorHAnsi"/>
          <w:color w:val="000000"/>
          <w:sz w:val="22"/>
          <w:szCs w:val="22"/>
        </w:rPr>
      </w:pPr>
      <w:r w:rsidRPr="00B45FA7">
        <w:rPr>
          <w:rFonts w:asciiTheme="majorHAnsi" w:eastAsia="Arial" w:hAnsiTheme="majorHAnsi" w:cstheme="majorHAnsi"/>
          <w:b/>
          <w:color w:val="1C418E"/>
          <w:sz w:val="22"/>
          <w:szCs w:val="22"/>
        </w:rPr>
        <w:t>Kontakt pro média</w:t>
      </w:r>
    </w:p>
    <w:p w14:paraId="702B4A6D" w14:textId="77777777" w:rsidR="00B70950" w:rsidRPr="00B45FA7" w:rsidRDefault="00B7095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Arial" w:hAnsiTheme="majorHAnsi" w:cstheme="majorHAnsi"/>
          <w:color w:val="242E59"/>
          <w:sz w:val="22"/>
          <w:szCs w:val="22"/>
        </w:rPr>
      </w:pPr>
    </w:p>
    <w:p w14:paraId="47D328AA" w14:textId="3F3D0462" w:rsidR="00B70950" w:rsidRPr="00B45FA7" w:rsidRDefault="00637D21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Calibri" w:hAnsiTheme="majorHAnsi" w:cstheme="majorHAnsi"/>
          <w:color w:val="000000"/>
          <w:sz w:val="22"/>
          <w:szCs w:val="22"/>
        </w:rPr>
      </w:pPr>
      <w:r w:rsidRPr="00B45FA7">
        <w:rPr>
          <w:rFonts w:asciiTheme="majorHAnsi" w:eastAsia="Calibri" w:hAnsiTheme="majorHAnsi" w:cstheme="majorHAnsi"/>
          <w:b/>
          <w:color w:val="242E59"/>
          <w:sz w:val="22"/>
          <w:szCs w:val="22"/>
        </w:rPr>
        <w:t>Petr Jarkovský a Michal Hoblík – ASPEN.PR</w:t>
      </w:r>
    </w:p>
    <w:p w14:paraId="7BBC4887" w14:textId="51E35529" w:rsidR="00637D21" w:rsidRPr="00B45FA7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Calibri" w:hAnsiTheme="majorHAnsi" w:cstheme="majorHAnsi"/>
          <w:color w:val="242E59"/>
          <w:sz w:val="22"/>
          <w:szCs w:val="22"/>
        </w:rPr>
      </w:pPr>
      <w:r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>e-mail</w:t>
      </w:r>
      <w:r w:rsidR="00637D21"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 xml:space="preserve">y: </w:t>
      </w:r>
      <w:hyperlink r:id="rId9" w:history="1">
        <w:r w:rsidR="00637D21" w:rsidRPr="00B45FA7">
          <w:rPr>
            <w:rStyle w:val="Hypertextovodkaz"/>
            <w:rFonts w:asciiTheme="majorHAnsi" w:eastAsia="Calibri" w:hAnsiTheme="majorHAnsi" w:cstheme="majorHAnsi"/>
            <w:sz w:val="22"/>
            <w:szCs w:val="22"/>
          </w:rPr>
          <w:t>petr.jarkovsky@aspen.pr</w:t>
        </w:r>
      </w:hyperlink>
      <w:r w:rsidR="00637D21"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 xml:space="preserve"> / </w:t>
      </w:r>
      <w:hyperlink r:id="rId10" w:history="1">
        <w:r w:rsidR="00637D21" w:rsidRPr="00B45FA7">
          <w:rPr>
            <w:rStyle w:val="Hypertextovodkaz"/>
            <w:rFonts w:asciiTheme="majorHAnsi" w:eastAsia="Calibri" w:hAnsiTheme="majorHAnsi" w:cstheme="majorHAnsi"/>
            <w:sz w:val="22"/>
            <w:szCs w:val="22"/>
          </w:rPr>
          <w:t>michal.hoblik@aspen.pr</w:t>
        </w:r>
      </w:hyperlink>
    </w:p>
    <w:p w14:paraId="4A4407CA" w14:textId="2900F0E5" w:rsidR="00B70950" w:rsidRPr="00B45FA7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Calibri" w:hAnsiTheme="majorHAnsi" w:cstheme="majorHAnsi"/>
          <w:color w:val="242E59"/>
          <w:sz w:val="22"/>
          <w:szCs w:val="22"/>
        </w:rPr>
      </w:pPr>
      <w:r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>tel.: +420 77</w:t>
      </w:r>
      <w:r w:rsidR="00637D21" w:rsidRPr="00B45FA7">
        <w:rPr>
          <w:rFonts w:asciiTheme="majorHAnsi" w:eastAsia="Calibri" w:hAnsiTheme="majorHAnsi" w:cstheme="majorHAnsi"/>
          <w:color w:val="242E59"/>
          <w:sz w:val="22"/>
          <w:szCs w:val="22"/>
        </w:rPr>
        <w:t>4 225 153 / +420 774 225 155</w:t>
      </w:r>
    </w:p>
    <w:sectPr w:rsidR="00B70950" w:rsidRPr="00B45FA7" w:rsidSect="00F333DA">
      <w:headerReference w:type="default" r:id="rId11"/>
      <w:footerReference w:type="default" r:id="rId12"/>
      <w:pgSz w:w="11906" w:h="16838"/>
      <w:pgMar w:top="2381" w:right="1134" w:bottom="1622" w:left="2631" w:header="1134" w:footer="113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5E1E9" w14:textId="77777777" w:rsidR="00B46A74" w:rsidRDefault="00B46A74">
      <w:r>
        <w:separator/>
      </w:r>
    </w:p>
  </w:endnote>
  <w:endnote w:type="continuationSeparator" w:id="0">
    <w:p w14:paraId="0F6A3300" w14:textId="77777777" w:rsidR="00B46A74" w:rsidRDefault="00B46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11DB7" w14:textId="74A9CFD9" w:rsidR="00B7095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  <w:sz w:val="24"/>
        <w:szCs w:val="24"/>
      </w:rPr>
    </w:pPr>
    <w:r>
      <w:rPr>
        <w:rFonts w:ascii="Arial" w:eastAsia="Arial" w:hAnsi="Arial" w:cs="Arial"/>
        <w:color w:val="1D4090"/>
        <w:sz w:val="18"/>
        <w:szCs w:val="18"/>
      </w:rPr>
      <w:t xml:space="preserve">V Praze dne </w:t>
    </w:r>
    <w:r w:rsidR="0010368D">
      <w:rPr>
        <w:rFonts w:ascii="Arial" w:eastAsia="Arial" w:hAnsi="Arial" w:cs="Arial"/>
        <w:color w:val="1D4090"/>
        <w:sz w:val="18"/>
        <w:szCs w:val="18"/>
      </w:rPr>
      <w:t>9</w:t>
    </w:r>
    <w:r>
      <w:rPr>
        <w:rFonts w:ascii="Arial" w:eastAsia="Arial" w:hAnsi="Arial" w:cs="Arial"/>
        <w:color w:val="1D4090"/>
        <w:sz w:val="18"/>
        <w:szCs w:val="18"/>
      </w:rPr>
      <w:t>.</w:t>
    </w:r>
    <w:r w:rsidR="00637D21">
      <w:rPr>
        <w:rFonts w:ascii="Arial" w:eastAsia="Arial" w:hAnsi="Arial" w:cs="Arial"/>
        <w:color w:val="1D4090"/>
        <w:sz w:val="18"/>
        <w:szCs w:val="18"/>
      </w:rPr>
      <w:t xml:space="preserve"> </w:t>
    </w:r>
    <w:r w:rsidR="00B7318D">
      <w:rPr>
        <w:rFonts w:ascii="Arial" w:eastAsia="Arial" w:hAnsi="Arial" w:cs="Arial"/>
        <w:color w:val="1D4090"/>
        <w:sz w:val="18"/>
        <w:szCs w:val="18"/>
      </w:rPr>
      <w:t>3</w:t>
    </w:r>
    <w:r>
      <w:rPr>
        <w:rFonts w:ascii="Arial" w:eastAsia="Arial" w:hAnsi="Arial" w:cs="Arial"/>
        <w:color w:val="1D4090"/>
        <w:sz w:val="18"/>
        <w:szCs w:val="18"/>
      </w:rPr>
      <w:t>. 202</w:t>
    </w:r>
    <w:r w:rsidR="0010368D">
      <w:rPr>
        <w:rFonts w:ascii="Arial" w:eastAsia="Arial" w:hAnsi="Arial" w:cs="Arial"/>
        <w:color w:val="1D4090"/>
        <w:sz w:val="18"/>
        <w:szCs w:val="18"/>
      </w:rPr>
      <w:t>6</w:t>
    </w:r>
    <w:r>
      <w:rPr>
        <w:rFonts w:ascii="Arial" w:eastAsia="Arial" w:hAnsi="Arial" w:cs="Arial"/>
        <w:color w:val="1D4090"/>
        <w:sz w:val="18"/>
        <w:szCs w:val="18"/>
      </w:rPr>
      <w:t xml:space="preserve">                                                                                                    Strana 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PAGE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 w:rsidR="00881A54">
      <w:rPr>
        <w:rFonts w:ascii="Arial" w:eastAsia="Arial" w:hAnsi="Arial" w:cs="Arial"/>
        <w:noProof/>
        <w:color w:val="1D4090"/>
        <w:sz w:val="18"/>
        <w:szCs w:val="18"/>
      </w:rPr>
      <w:t>1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  <w:r>
      <w:rPr>
        <w:rFonts w:ascii="Arial" w:eastAsia="Arial" w:hAnsi="Arial" w:cs="Arial"/>
        <w:color w:val="1D4090"/>
        <w:sz w:val="18"/>
        <w:szCs w:val="18"/>
      </w:rPr>
      <w:t>/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NUMPAGES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 w:rsidR="00881A54">
      <w:rPr>
        <w:rFonts w:ascii="Arial" w:eastAsia="Arial" w:hAnsi="Arial" w:cs="Arial"/>
        <w:noProof/>
        <w:color w:val="1D4090"/>
        <w:sz w:val="18"/>
        <w:szCs w:val="18"/>
      </w:rPr>
      <w:t>2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A7D77" w14:textId="77777777" w:rsidR="00B46A74" w:rsidRDefault="00B46A74">
      <w:r>
        <w:separator/>
      </w:r>
    </w:p>
  </w:footnote>
  <w:footnote w:type="continuationSeparator" w:id="0">
    <w:p w14:paraId="648467B8" w14:textId="77777777" w:rsidR="00B46A74" w:rsidRDefault="00B46A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F1E83" w14:textId="77777777" w:rsidR="00B7095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  <w:sz w:val="24"/>
        <w:szCs w:val="24"/>
      </w:rPr>
    </w:pPr>
    <w:r>
      <w:rPr>
        <w:rFonts w:ascii="Arial" w:eastAsia="Arial" w:hAnsi="Arial" w:cs="Arial"/>
        <w:b/>
        <w:color w:val="CA171B"/>
        <w:sz w:val="28"/>
        <w:szCs w:val="28"/>
      </w:rPr>
      <w:t>TISKOVÁ ZPRÁVA</w:t>
    </w:r>
    <w:r>
      <w:rPr>
        <w:noProof/>
      </w:rPr>
      <w:drawing>
        <wp:anchor distT="0" distB="0" distL="0" distR="0" simplePos="0" relativeHeight="251658240" behindDoc="0" locked="0" layoutInCell="1" hidden="0" allowOverlap="1" wp14:anchorId="74DCCCBF" wp14:editId="55A7B3CC">
          <wp:simplePos x="0" y="0"/>
          <wp:positionH relativeFrom="column">
            <wp:posOffset>3503929</wp:posOffset>
          </wp:positionH>
          <wp:positionV relativeFrom="paragraph">
            <wp:posOffset>-20319</wp:posOffset>
          </wp:positionV>
          <wp:extent cx="1631315" cy="316230"/>
          <wp:effectExtent l="0" t="0" r="0" b="0"/>
          <wp:wrapSquare wrapText="bothSides" distT="0" distB="0" distL="0" distR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31315" cy="3162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0" locked="0" layoutInCell="1" hidden="0" allowOverlap="1" wp14:anchorId="1DA96F0E" wp14:editId="08162CAE">
          <wp:simplePos x="0" y="0"/>
          <wp:positionH relativeFrom="column">
            <wp:posOffset>-1671954</wp:posOffset>
          </wp:positionH>
          <wp:positionV relativeFrom="paragraph">
            <wp:posOffset>-720089</wp:posOffset>
          </wp:positionV>
          <wp:extent cx="106680" cy="10691495"/>
          <wp:effectExtent l="0" t="0" r="0" b="0"/>
          <wp:wrapSquare wrapText="bothSides" distT="0" distB="0" distL="0" distR="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" cy="10691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F3704"/>
    <w:multiLevelType w:val="multilevel"/>
    <w:tmpl w:val="BC103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332EB3"/>
    <w:multiLevelType w:val="hybridMultilevel"/>
    <w:tmpl w:val="AFDAD2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9368243">
    <w:abstractNumId w:val="0"/>
  </w:num>
  <w:num w:numId="2" w16cid:durableId="1189296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950"/>
    <w:rsid w:val="00012112"/>
    <w:rsid w:val="000775C2"/>
    <w:rsid w:val="000B2972"/>
    <w:rsid w:val="000B5DB2"/>
    <w:rsid w:val="000C614B"/>
    <w:rsid w:val="0010368D"/>
    <w:rsid w:val="00130BC5"/>
    <w:rsid w:val="0013381B"/>
    <w:rsid w:val="0031775B"/>
    <w:rsid w:val="003941C5"/>
    <w:rsid w:val="003C3F3A"/>
    <w:rsid w:val="003C7E37"/>
    <w:rsid w:val="003E1CAA"/>
    <w:rsid w:val="004C2494"/>
    <w:rsid w:val="00515A44"/>
    <w:rsid w:val="0053251F"/>
    <w:rsid w:val="005A6DB3"/>
    <w:rsid w:val="005C7E36"/>
    <w:rsid w:val="00637D21"/>
    <w:rsid w:val="00667172"/>
    <w:rsid w:val="006965B3"/>
    <w:rsid w:val="006D08E9"/>
    <w:rsid w:val="006D11BA"/>
    <w:rsid w:val="00704DC0"/>
    <w:rsid w:val="00705C57"/>
    <w:rsid w:val="007342C5"/>
    <w:rsid w:val="00791504"/>
    <w:rsid w:val="00823B24"/>
    <w:rsid w:val="008324A1"/>
    <w:rsid w:val="00843067"/>
    <w:rsid w:val="00862616"/>
    <w:rsid w:val="008703DC"/>
    <w:rsid w:val="00875B58"/>
    <w:rsid w:val="00880F11"/>
    <w:rsid w:val="00881A54"/>
    <w:rsid w:val="00985B5F"/>
    <w:rsid w:val="00A014E1"/>
    <w:rsid w:val="00A26E4F"/>
    <w:rsid w:val="00A506EB"/>
    <w:rsid w:val="00A67AB1"/>
    <w:rsid w:val="00B01DF7"/>
    <w:rsid w:val="00B2380D"/>
    <w:rsid w:val="00B32FAC"/>
    <w:rsid w:val="00B45FA7"/>
    <w:rsid w:val="00B46A74"/>
    <w:rsid w:val="00B63ACC"/>
    <w:rsid w:val="00B70950"/>
    <w:rsid w:val="00B7110D"/>
    <w:rsid w:val="00B7318D"/>
    <w:rsid w:val="00BB6659"/>
    <w:rsid w:val="00BE15F9"/>
    <w:rsid w:val="00C26214"/>
    <w:rsid w:val="00CA3ECF"/>
    <w:rsid w:val="00CE08BA"/>
    <w:rsid w:val="00CF0768"/>
    <w:rsid w:val="00CF5565"/>
    <w:rsid w:val="00D2759E"/>
    <w:rsid w:val="00D46889"/>
    <w:rsid w:val="00D6798E"/>
    <w:rsid w:val="00DB0C51"/>
    <w:rsid w:val="00E00942"/>
    <w:rsid w:val="00E621B0"/>
    <w:rsid w:val="00E64591"/>
    <w:rsid w:val="00EA241D"/>
    <w:rsid w:val="00F15650"/>
    <w:rsid w:val="00F31E37"/>
    <w:rsid w:val="00F333DA"/>
    <w:rsid w:val="00F56553"/>
    <w:rsid w:val="00F9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307CD"/>
  <w15:docId w15:val="{22B8E495-2DD7-EB45-AC76-A43F1B14D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37D21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37D21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637D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37D21"/>
  </w:style>
  <w:style w:type="paragraph" w:styleId="Zpat">
    <w:name w:val="footer"/>
    <w:basedOn w:val="Normln"/>
    <w:link w:val="ZpatChar"/>
    <w:uiPriority w:val="99"/>
    <w:unhideWhenUsed/>
    <w:rsid w:val="00637D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37D21"/>
  </w:style>
  <w:style w:type="paragraph" w:styleId="Normlnweb">
    <w:name w:val="Normal (Web)"/>
    <w:basedOn w:val="Normln"/>
    <w:uiPriority w:val="99"/>
    <w:semiHidden/>
    <w:unhideWhenUsed/>
    <w:rsid w:val="00CA3ECF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036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2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michal.hoblik@aspen.p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etr.jarkovsky@aspen.p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562</Words>
  <Characters>3233</Characters>
  <Application>Microsoft Office Word</Application>
  <DocSecurity>0</DocSecurity>
  <Lines>54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Jarkovský</dc:creator>
  <cp:lastModifiedBy>Michal Hoblík</cp:lastModifiedBy>
  <cp:revision>5</cp:revision>
  <cp:lastPrinted>2025-04-30T08:20:00Z</cp:lastPrinted>
  <dcterms:created xsi:type="dcterms:W3CDTF">2026-03-09T05:50:00Z</dcterms:created>
  <dcterms:modified xsi:type="dcterms:W3CDTF">2026-03-09T06:06:00Z</dcterms:modified>
</cp:coreProperties>
</file>