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90132" w14:textId="40B903F4" w:rsidR="00550D78" w:rsidRDefault="00550D78" w:rsidP="00550D78">
      <w:pPr>
        <w:spacing w:before="280" w:after="80"/>
        <w:rPr>
          <w:rFonts w:ascii="Arial" w:eastAsia="Arial" w:hAnsi="Arial" w:cs="Arial"/>
          <w:b/>
          <w:bCs/>
          <w:color w:val="000000"/>
        </w:rPr>
      </w:pPr>
      <w:r>
        <w:rPr>
          <w:rFonts w:ascii="Arial" w:eastAsia="Arial" w:hAnsi="Arial" w:cs="Arial"/>
          <w:b/>
          <w:bCs/>
          <w:color w:val="000000"/>
        </w:rPr>
        <w:t>Daně OSVČ. Na jaké slevy a odpočty mají nárok?</w:t>
      </w:r>
    </w:p>
    <w:p w14:paraId="10DF8859" w14:textId="7A8AFCAA" w:rsidR="00550D78" w:rsidRPr="004B0018" w:rsidRDefault="00550D78" w:rsidP="00550D78">
      <w:pPr>
        <w:spacing w:before="280" w:after="80"/>
        <w:rPr>
          <w:rFonts w:ascii="Arial" w:eastAsia="Arial" w:hAnsi="Arial" w:cs="Arial"/>
          <w:color w:val="000000"/>
          <w:sz w:val="20"/>
          <w:szCs w:val="20"/>
        </w:rPr>
      </w:pPr>
      <w:r w:rsidRPr="004B0018">
        <w:rPr>
          <w:rFonts w:ascii="Arial" w:eastAsia="Arial" w:hAnsi="Arial" w:cs="Arial"/>
          <w:b/>
          <w:bCs/>
          <w:color w:val="000000"/>
          <w:sz w:val="20"/>
          <w:szCs w:val="20"/>
        </w:rPr>
        <w:t>Praha, 11. února 2026 - Daně patří k nejcitlivějším tématům podnikání. Pro osoby samostatně výdělečně činné to platí dvojnásob – na rozdíl od zaměstnanců si musí většinu povinností hlídat samy a zároveň mají větší prostor ovlivnit, kolik skutečně odvedou státu. Rok 2026</w:t>
      </w:r>
      <w:r w:rsidR="00821565">
        <w:rPr>
          <w:rFonts w:ascii="Arial" w:eastAsia="Arial" w:hAnsi="Arial" w:cs="Arial"/>
          <w:b/>
          <w:bCs/>
          <w:color w:val="000000"/>
          <w:sz w:val="20"/>
          <w:szCs w:val="20"/>
        </w:rPr>
        <w:t>, kdy se podává daňové přiznání za rok 2025,</w:t>
      </w:r>
      <w:r w:rsidRPr="004B0018">
        <w:rPr>
          <w:rFonts w:ascii="Arial" w:eastAsia="Arial" w:hAnsi="Arial" w:cs="Arial"/>
          <w:b/>
          <w:bCs/>
          <w:color w:val="000000"/>
          <w:sz w:val="20"/>
          <w:szCs w:val="20"/>
        </w:rPr>
        <w:t xml:space="preserve"> přitom OSVČ nabízí poměrně širokou škálu legálních možností, jak snížit daňovou zátěž. Rozhodující je správná volba výdajů, využití slev a nezdanitelných částí základu daně a také to, zda podnikatel nepřehlíží změny, které v posledních letech nastaly.</w:t>
      </w:r>
    </w:p>
    <w:p w14:paraId="6A7E861C" w14:textId="77777777" w:rsidR="00550D78" w:rsidRPr="004B0018" w:rsidRDefault="00550D78" w:rsidP="00550D78">
      <w:pPr>
        <w:spacing w:before="280" w:after="80"/>
        <w:rPr>
          <w:sz w:val="20"/>
          <w:szCs w:val="20"/>
        </w:rPr>
      </w:pPr>
      <w:r w:rsidRPr="004B0018">
        <w:rPr>
          <w:rFonts w:ascii="Arial" w:eastAsia="Arial" w:hAnsi="Arial" w:cs="Arial"/>
          <w:color w:val="000000"/>
          <w:sz w:val="20"/>
          <w:szCs w:val="20"/>
        </w:rPr>
        <w:t>Základním rozdílem oproti zaměstnancům je skutečnost, že OSVČ nejprve stanovuje základ daně sama – a to buď prostřednictvím skutečných výdajů, nebo paušálních výdajů. Právě tato volba má zásadní vliv na to, jaké slevy a odpočty se skutečně projeví a kolik podnikateli zůstane „v kapse“.</w:t>
      </w:r>
    </w:p>
    <w:p w14:paraId="12EBE0D4"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Paušální nebo skutečné výdaje. První strategické rozhodnutí</w:t>
      </w:r>
      <w:r w:rsidRPr="004B0018">
        <w:rPr>
          <w:rFonts w:ascii="Arial" w:eastAsia="Arial" w:hAnsi="Arial" w:cs="Arial"/>
          <w:b/>
          <w:bCs/>
          <w:color w:val="000000"/>
          <w:sz w:val="20"/>
          <w:szCs w:val="20"/>
        </w:rPr>
        <w:br/>
      </w:r>
      <w:r w:rsidRPr="004B0018">
        <w:rPr>
          <w:rFonts w:ascii="Arial" w:eastAsia="Arial" w:hAnsi="Arial" w:cs="Arial"/>
          <w:color w:val="000000"/>
          <w:sz w:val="20"/>
          <w:szCs w:val="20"/>
        </w:rPr>
        <w:t xml:space="preserve">„Volba mezi paušálními a skutečnými výdaji je jedním z klíčových rozhodnutí každého podnikatele. Paušální výdaje představují jednoduché řešení bez nutnosti evidovat jednotlivé náklady, ale zároveň mohou omezit možnosti další daňové optimalizace. Skutečné výdaje naopak umožňují odečíst reálné náklady spojené s podnikáním, od nájmu kanceláře přes techniku až po služby, a v řadě případů vedou k nižšímu základu daně. V roce 2026 platí, že bez ohledu na zvolený způsob výdajů mají OSVČ nárok na stejné základní slevy a odpočty jako zaměstnanci. Rozdíl je v tom, že jejich efekt se často násobí už na úrovni základu daně,“ říká Anna </w:t>
      </w:r>
      <w:proofErr w:type="spellStart"/>
      <w:r w:rsidRPr="004B0018">
        <w:rPr>
          <w:rFonts w:ascii="Arial" w:eastAsia="Arial" w:hAnsi="Arial" w:cs="Arial"/>
          <w:color w:val="000000"/>
          <w:sz w:val="20"/>
          <w:szCs w:val="20"/>
        </w:rPr>
        <w:t>Kevorkyan</w:t>
      </w:r>
      <w:proofErr w:type="spellEnd"/>
      <w:r w:rsidRPr="004B0018">
        <w:rPr>
          <w:rFonts w:ascii="Arial" w:eastAsia="Arial" w:hAnsi="Arial" w:cs="Arial"/>
          <w:color w:val="000000"/>
          <w:sz w:val="20"/>
          <w:szCs w:val="20"/>
        </w:rPr>
        <w:t>, CEO pracovního portálu JenPráce.cz.</w:t>
      </w:r>
    </w:p>
    <w:p w14:paraId="7E1CD3C4" w14:textId="77777777" w:rsidR="00550D78" w:rsidRPr="004B0018" w:rsidRDefault="00550D78" w:rsidP="00550D78">
      <w:pPr>
        <w:spacing w:before="280" w:after="80"/>
        <w:rPr>
          <w:rFonts w:ascii="Times New Roman" w:eastAsia="Times New Roman" w:hAnsi="Times New Roman" w:cs="Times New Roman"/>
          <w:b/>
          <w:bCs/>
          <w:color w:val="000000"/>
          <w:sz w:val="20"/>
          <w:szCs w:val="20"/>
        </w:rPr>
      </w:pPr>
      <w:r w:rsidRPr="004B0018">
        <w:rPr>
          <w:rFonts w:ascii="Arial" w:eastAsia="Arial" w:hAnsi="Arial" w:cs="Arial"/>
          <w:b/>
          <w:bCs/>
          <w:color w:val="000000"/>
          <w:sz w:val="20"/>
          <w:szCs w:val="20"/>
        </w:rPr>
        <w:t>Základní sleva na poplatníka a osobní slevy</w:t>
      </w:r>
      <w:r w:rsidRPr="004B0018">
        <w:rPr>
          <w:rFonts w:ascii="Arial" w:eastAsia="Arial" w:hAnsi="Arial" w:cs="Arial"/>
          <w:b/>
          <w:bCs/>
          <w:color w:val="000000"/>
          <w:sz w:val="20"/>
          <w:szCs w:val="20"/>
        </w:rPr>
        <w:br/>
      </w:r>
      <w:r w:rsidRPr="004B0018">
        <w:rPr>
          <w:rFonts w:ascii="Arial" w:eastAsia="Arial" w:hAnsi="Arial" w:cs="Arial"/>
          <w:color w:val="000000"/>
          <w:sz w:val="20"/>
          <w:szCs w:val="20"/>
        </w:rPr>
        <w:t xml:space="preserve">„Každá OSVČ má nárok na základní slevu na poplatníka, která se uplatňuje přímo proti vypočtené dani. Tato sleva je klíčová zejména pro drobné podnikatele a živnostníky s nižšími zisky, protože dokáže jejich daňovou povinnost výrazně snížit nebo zcela eliminovat. Vedle ní mohou OSVČ uplatnit také slevy na invaliditu, průkaz ZTP/P nebo slevu na manžela či manželku, pokud jsou splněny zákonné podmínky. Stejně jako u zaměstnanců už nejde o automatický nárok, ale o cílenou podporu pro konkrétní životní situace,“ upozorňuje Jana </w:t>
      </w:r>
      <w:proofErr w:type="spellStart"/>
      <w:r w:rsidRPr="004B0018">
        <w:rPr>
          <w:rFonts w:ascii="Arial" w:eastAsia="Arial" w:hAnsi="Arial" w:cs="Arial"/>
          <w:color w:val="000000"/>
          <w:sz w:val="20"/>
          <w:szCs w:val="20"/>
        </w:rPr>
        <w:t>Jáčová</w:t>
      </w:r>
      <w:proofErr w:type="spellEnd"/>
      <w:r w:rsidRPr="004B0018">
        <w:rPr>
          <w:rFonts w:ascii="Arial" w:eastAsia="Arial" w:hAnsi="Arial" w:cs="Arial"/>
          <w:color w:val="000000"/>
          <w:sz w:val="20"/>
          <w:szCs w:val="20"/>
        </w:rPr>
        <w:t xml:space="preserve"> z UOL Účetnictví.</w:t>
      </w:r>
    </w:p>
    <w:p w14:paraId="32F51398"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Děti a podnikání. Daňové zvýhodnění funguje i pro OSVČ</w:t>
      </w:r>
      <w:r w:rsidRPr="004B0018">
        <w:rPr>
          <w:rFonts w:ascii="Arial" w:eastAsia="Arial" w:hAnsi="Arial" w:cs="Arial"/>
          <w:b/>
          <w:bCs/>
          <w:color w:val="000000"/>
          <w:sz w:val="20"/>
          <w:szCs w:val="20"/>
        </w:rPr>
        <w:br/>
      </w:r>
      <w:r w:rsidRPr="004B0018">
        <w:rPr>
          <w:rFonts w:ascii="Arial" w:eastAsia="Arial" w:hAnsi="Arial" w:cs="Arial"/>
          <w:color w:val="000000"/>
          <w:sz w:val="20"/>
          <w:szCs w:val="20"/>
        </w:rPr>
        <w:t>Daňové zvýhodnění na děti mohou uplatnit i osoby samostatně výdělečně činné. Princip je stejný jako u zaměstnanců – pokud je daňová povinnost nižší než samotné zvýhodnění, vzniká nárok na daňový bonus. U OSVČ je však nutné splnit minimální hranici příjmů, která je přísněji kontrolována než u zaměstnaneckého poměru. Pro rodiny, kde jeden z rodičů podniká, může daňové zvýhodnění na děti znamenat rozdíl v řádu desítek tisíc korun ročně a často rozhoduje o tom, zda se podnikání z hlediska rodinného rozpočtu skutečně vyplatí.</w:t>
      </w:r>
    </w:p>
    <w:p w14:paraId="7EFD7EC3"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Spoření, pojištění a dary. klasické odpočty i pro podnikatele</w:t>
      </w:r>
      <w:r w:rsidRPr="004B0018">
        <w:rPr>
          <w:rFonts w:ascii="Arial" w:eastAsia="Arial" w:hAnsi="Arial" w:cs="Arial"/>
          <w:b/>
          <w:bCs/>
          <w:color w:val="000000"/>
          <w:sz w:val="20"/>
          <w:szCs w:val="20"/>
        </w:rPr>
        <w:br/>
      </w:r>
      <w:r w:rsidRPr="004B0018">
        <w:rPr>
          <w:rFonts w:ascii="Arial" w:eastAsia="Arial" w:hAnsi="Arial" w:cs="Arial"/>
          <w:color w:val="000000"/>
          <w:sz w:val="20"/>
          <w:szCs w:val="20"/>
        </w:rPr>
        <w:t xml:space="preserve">„OSVČ mohou stejně jako zaměstnanci odečítat příspěvky na penzijní spoření, dlouhodobé investiční produkty nebo životní pojištění, pokud splňují zákonné podmínky. Tyto odpočty snižují základ daně a jejich efekt je tím vyšší, čím vyšší je daňová sazba, do které podnikatel spadá. Velmi často využívanou možností jsou také odpočty za dary na veřejně prospěšné účely. Patří sem nejen finanční dary, ale i bezpříspěvkové darování krve nebo kostní dřeně. Přestože nejde o vysoké částky, v kombinaci s dalšími odpočty mohou hrát významnou roli,“ říká Anna </w:t>
      </w:r>
      <w:proofErr w:type="spellStart"/>
      <w:r w:rsidRPr="004B0018">
        <w:rPr>
          <w:rFonts w:ascii="Arial" w:eastAsia="Arial" w:hAnsi="Arial" w:cs="Arial"/>
          <w:color w:val="000000"/>
          <w:sz w:val="20"/>
          <w:szCs w:val="20"/>
        </w:rPr>
        <w:t>Kevorkyan</w:t>
      </w:r>
      <w:proofErr w:type="spellEnd"/>
      <w:r w:rsidRPr="004B0018">
        <w:rPr>
          <w:rFonts w:ascii="Arial" w:eastAsia="Arial" w:hAnsi="Arial" w:cs="Arial"/>
          <w:color w:val="000000"/>
          <w:sz w:val="20"/>
          <w:szCs w:val="20"/>
        </w:rPr>
        <w:t xml:space="preserve"> z JenPráce.cz.</w:t>
      </w:r>
    </w:p>
    <w:p w14:paraId="5DF50928"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Paušální daň. Jednoduchost výměnou za omezení</w:t>
      </w:r>
      <w:r w:rsidRPr="004B0018">
        <w:rPr>
          <w:rFonts w:ascii="Arial" w:eastAsia="Arial" w:hAnsi="Arial" w:cs="Arial"/>
          <w:b/>
          <w:bCs/>
          <w:color w:val="000000"/>
          <w:sz w:val="20"/>
          <w:szCs w:val="20"/>
        </w:rPr>
        <w:br/>
      </w:r>
      <w:r w:rsidRPr="004B0018">
        <w:rPr>
          <w:rFonts w:ascii="Arial" w:eastAsia="Arial" w:hAnsi="Arial" w:cs="Arial"/>
          <w:color w:val="000000"/>
          <w:sz w:val="20"/>
          <w:szCs w:val="20"/>
        </w:rPr>
        <w:t>Specifickou kategorií jsou OSVČ v paušálním režimu. Paušální daň výrazně zjednodušuje administrativu, ale zároveň vylučuje možnost uplatňovat většinu slev a odpočtů samostatně. Podnikatel v tomto režimu už nemůže optimalizovat daňovou povinnost pomocí dětí, manžela nebo odpočtů na spoření – vše je „zabalené“ v jedné měsíční platbě.</w:t>
      </w:r>
      <w:r w:rsidRPr="004B0018">
        <w:rPr>
          <w:rFonts w:ascii="Arial" w:eastAsia="Arial" w:hAnsi="Arial" w:cs="Arial"/>
          <w:b/>
          <w:bCs/>
          <w:color w:val="000000"/>
          <w:sz w:val="20"/>
          <w:szCs w:val="20"/>
        </w:rPr>
        <w:t xml:space="preserve"> </w:t>
      </w:r>
      <w:r w:rsidRPr="004B0018">
        <w:rPr>
          <w:rFonts w:ascii="Arial" w:eastAsia="Arial" w:hAnsi="Arial" w:cs="Arial"/>
          <w:color w:val="000000"/>
          <w:sz w:val="20"/>
          <w:szCs w:val="20"/>
        </w:rPr>
        <w:t>Právě proto se v roce 2026 řada OSVČ znovu zamýšlí nad tím, zda se jim paušální režim stále vyplatí, zejména pokud se změnila jejich rodinná nebo příjmová situace.</w:t>
      </w:r>
    </w:p>
    <w:p w14:paraId="1C6D2936" w14:textId="77777777" w:rsidR="00550D78" w:rsidRPr="004B0018" w:rsidRDefault="00550D78" w:rsidP="00550D78">
      <w:pPr>
        <w:spacing w:before="280" w:after="80"/>
        <w:rPr>
          <w:rFonts w:ascii="Times New Roman" w:eastAsia="Times New Roman" w:hAnsi="Times New Roman" w:cs="Times New Roman"/>
          <w:b/>
          <w:bCs/>
          <w:color w:val="000000"/>
          <w:sz w:val="20"/>
          <w:szCs w:val="20"/>
        </w:rPr>
      </w:pPr>
      <w:r w:rsidRPr="004B0018">
        <w:rPr>
          <w:rFonts w:ascii="Arial" w:eastAsia="Arial" w:hAnsi="Arial" w:cs="Arial"/>
          <w:b/>
          <w:bCs/>
          <w:color w:val="000000"/>
          <w:sz w:val="20"/>
          <w:szCs w:val="20"/>
        </w:rPr>
        <w:lastRenderedPageBreak/>
        <w:t>Co už OSVČ odečíst nemohou a na co si dát pozor</w:t>
      </w:r>
      <w:r w:rsidRPr="004B0018">
        <w:rPr>
          <w:rFonts w:ascii="Arial" w:eastAsia="Arial" w:hAnsi="Arial" w:cs="Arial"/>
          <w:color w:val="000000"/>
          <w:sz w:val="20"/>
          <w:szCs w:val="20"/>
        </w:rPr>
        <w:br/>
        <w:t xml:space="preserve">„Stejně jako u zaměstnanců i u OSVČ platí, že některé dříve běžné odpočty už zákon neumožňuje. Zrušeny byly například odpočty za členské příspěvky odborům nebo školkovné. Přísnější jsou také podmínky u některých pojistných produktů, které dnes musí splňovat jasně definovaná kritéria, aby byly daňově uznatelné. Chyby v této oblasti patří mezi nejčastější důvody doměrků a kontrol ze strany Finanční správa České republiky. Právě OSVČ by proto měly věnovat pozornost nejen tomu, co odečíst lze, ale i tomu, co už zákon nezná,“ říká Jana </w:t>
      </w:r>
      <w:proofErr w:type="spellStart"/>
      <w:r w:rsidRPr="004B0018">
        <w:rPr>
          <w:rFonts w:ascii="Arial" w:eastAsia="Arial" w:hAnsi="Arial" w:cs="Arial"/>
          <w:color w:val="000000"/>
          <w:sz w:val="20"/>
          <w:szCs w:val="20"/>
        </w:rPr>
        <w:t>Jáčová</w:t>
      </w:r>
      <w:proofErr w:type="spellEnd"/>
      <w:r w:rsidRPr="004B0018">
        <w:rPr>
          <w:rFonts w:ascii="Arial" w:eastAsia="Arial" w:hAnsi="Arial" w:cs="Arial"/>
          <w:color w:val="000000"/>
          <w:sz w:val="20"/>
          <w:szCs w:val="20"/>
        </w:rPr>
        <w:t xml:space="preserve"> z UOL Účetnictví.</w:t>
      </w:r>
    </w:p>
    <w:p w14:paraId="22D2C2C1"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Daňové plánování jako součást podnikání</w:t>
      </w:r>
      <w:r w:rsidRPr="004B0018">
        <w:rPr>
          <w:rFonts w:ascii="Arial" w:eastAsia="Arial" w:hAnsi="Arial" w:cs="Arial"/>
          <w:b/>
          <w:bCs/>
          <w:color w:val="000000"/>
          <w:sz w:val="20"/>
          <w:szCs w:val="20"/>
        </w:rPr>
        <w:br/>
      </w:r>
      <w:r w:rsidRPr="004B0018">
        <w:rPr>
          <w:rFonts w:ascii="Arial" w:eastAsia="Arial" w:hAnsi="Arial" w:cs="Arial"/>
          <w:color w:val="000000"/>
          <w:sz w:val="20"/>
          <w:szCs w:val="20"/>
        </w:rPr>
        <w:t>Pro OSVČ nejsou daně jednorázovou povinností, ale součástí dlouhodobého plánování. Rozdíl mezi podnikatelem, který daně „řeší až na jaře“, a tím, kdo s nimi pracuje průběžně, se může pohybovat v řádu desítek tisíc korun ročně. Rok 2026 v tomto ohledu nenabízí zkratky, ale dává jasná pravidla – a prostor těm, kteří je umí využít ve svůj prospěch.</w:t>
      </w:r>
    </w:p>
    <w:p w14:paraId="0A861A31"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Modelové výpočty. OSVČ – paušální vs. skutečné výdaje</w:t>
      </w:r>
      <w:r>
        <w:rPr>
          <w:rFonts w:ascii="Arial" w:eastAsia="Arial" w:hAnsi="Arial" w:cs="Arial"/>
          <w:b/>
          <w:bCs/>
          <w:color w:val="000000"/>
          <w:sz w:val="20"/>
          <w:szCs w:val="20"/>
        </w:rPr>
        <w:br/>
      </w:r>
      <w:r w:rsidRPr="004B0018">
        <w:rPr>
          <w:rFonts w:ascii="Arial" w:eastAsia="Arial" w:hAnsi="Arial" w:cs="Arial"/>
          <w:b/>
          <w:bCs/>
          <w:color w:val="000000"/>
          <w:sz w:val="20"/>
          <w:szCs w:val="20"/>
        </w:rPr>
        <w:t>Modelový příklad: OSVČ bez dětí, roční příjmy 1 200 000 Kč</w:t>
      </w:r>
      <w:r>
        <w:rPr>
          <w:rFonts w:ascii="Arial" w:eastAsia="Arial" w:hAnsi="Arial" w:cs="Arial"/>
          <w:b/>
          <w:bCs/>
          <w:color w:val="000000"/>
          <w:sz w:val="20"/>
          <w:szCs w:val="20"/>
        </w:rPr>
        <w:t xml:space="preserve">: </w:t>
      </w:r>
      <w:r w:rsidRPr="004B0018">
        <w:rPr>
          <w:rFonts w:ascii="Arial" w:eastAsia="Arial" w:hAnsi="Arial" w:cs="Arial"/>
          <w:color w:val="000000"/>
          <w:sz w:val="20"/>
          <w:szCs w:val="20"/>
        </w:rPr>
        <w:t>Podnikatel s ročními příjmy 1,2 milionu korun stojí před typickým rozhodnutím, zda zvolit paušální výdaje, nebo uplatnit skutečné náklady.</w:t>
      </w:r>
    </w:p>
    <w:p w14:paraId="55A7867E"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Varianta A: Paušální výdaje (60 %)</w:t>
      </w:r>
      <w:r w:rsidRPr="004B0018">
        <w:rPr>
          <w:rFonts w:ascii="Arial" w:eastAsia="Arial" w:hAnsi="Arial" w:cs="Arial"/>
          <w:b/>
          <w:bCs/>
          <w:color w:val="000000"/>
          <w:sz w:val="20"/>
          <w:szCs w:val="20"/>
        </w:rPr>
        <w:br/>
      </w:r>
      <w:r w:rsidRPr="004B0018">
        <w:rPr>
          <w:rFonts w:ascii="Arial" w:eastAsia="Arial" w:hAnsi="Arial" w:cs="Arial"/>
          <w:color w:val="000000"/>
          <w:sz w:val="20"/>
          <w:szCs w:val="20"/>
        </w:rPr>
        <w:t>OSVČ uplatní paušální výdaje ve výši 720 000 Kč.</w:t>
      </w:r>
      <w:r w:rsidRPr="004B0018">
        <w:rPr>
          <w:rFonts w:ascii="Arial" w:eastAsia="Arial" w:hAnsi="Arial" w:cs="Arial"/>
          <w:b/>
          <w:bCs/>
          <w:color w:val="000000"/>
          <w:sz w:val="20"/>
          <w:szCs w:val="20"/>
        </w:rPr>
        <w:br/>
      </w:r>
      <w:r w:rsidRPr="004B0018">
        <w:rPr>
          <w:rFonts w:ascii="Arial" w:eastAsia="Arial" w:hAnsi="Arial" w:cs="Arial"/>
          <w:color w:val="000000"/>
          <w:sz w:val="20"/>
          <w:szCs w:val="20"/>
        </w:rPr>
        <w:t>Základ daně činí 480 000 Kč.</w:t>
      </w:r>
      <w:r w:rsidRPr="004B0018">
        <w:rPr>
          <w:rFonts w:ascii="Arial" w:eastAsia="Arial" w:hAnsi="Arial" w:cs="Arial"/>
          <w:b/>
          <w:bCs/>
          <w:color w:val="000000"/>
          <w:sz w:val="20"/>
          <w:szCs w:val="20"/>
        </w:rPr>
        <w:br/>
      </w:r>
      <w:r w:rsidRPr="004B0018">
        <w:rPr>
          <w:rFonts w:ascii="Arial" w:eastAsia="Arial" w:hAnsi="Arial" w:cs="Arial"/>
          <w:color w:val="000000"/>
          <w:sz w:val="20"/>
          <w:szCs w:val="20"/>
        </w:rPr>
        <w:t>Po uplatnění základní slevy na poplatníka vyjde výsledná daň přibližně na</w:t>
      </w:r>
      <w:sdt>
        <w:sdtPr>
          <w:rPr>
            <w:sz w:val="20"/>
            <w:szCs w:val="20"/>
          </w:rPr>
          <w:tag w:val="goog_rdk_0"/>
          <w:id w:val="1192529685"/>
        </w:sdtPr>
        <w:sdtContent/>
      </w:sdt>
      <w:r w:rsidRPr="004B0018">
        <w:rPr>
          <w:rFonts w:ascii="Arial" w:eastAsia="Arial" w:hAnsi="Arial" w:cs="Arial"/>
          <w:color w:val="000000"/>
          <w:sz w:val="20"/>
          <w:szCs w:val="20"/>
        </w:rPr>
        <w:t xml:space="preserve"> 4</w:t>
      </w:r>
      <w:r w:rsidRPr="004B0018">
        <w:rPr>
          <w:rFonts w:ascii="Arial" w:eastAsia="Arial" w:hAnsi="Arial" w:cs="Arial"/>
          <w:sz w:val="20"/>
          <w:szCs w:val="20"/>
        </w:rPr>
        <w:t>1</w:t>
      </w:r>
      <w:r w:rsidRPr="004B0018">
        <w:rPr>
          <w:rFonts w:ascii="Arial" w:eastAsia="Arial" w:hAnsi="Arial" w:cs="Arial"/>
          <w:color w:val="000000"/>
          <w:sz w:val="20"/>
          <w:szCs w:val="20"/>
        </w:rPr>
        <w:t xml:space="preserve"> 000 Kč.</w:t>
      </w:r>
    </w:p>
    <w:p w14:paraId="16DF6E90"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Varianta B: Skutečné výdaje</w:t>
      </w:r>
      <w:r w:rsidRPr="004B0018">
        <w:rPr>
          <w:rFonts w:ascii="Arial" w:eastAsia="Arial" w:hAnsi="Arial" w:cs="Arial"/>
          <w:b/>
          <w:bCs/>
          <w:color w:val="000000"/>
          <w:sz w:val="20"/>
          <w:szCs w:val="20"/>
        </w:rPr>
        <w:br/>
      </w:r>
      <w:r w:rsidRPr="004B0018">
        <w:rPr>
          <w:rFonts w:ascii="Arial" w:eastAsia="Arial" w:hAnsi="Arial" w:cs="Arial"/>
          <w:color w:val="000000"/>
          <w:sz w:val="20"/>
          <w:szCs w:val="20"/>
        </w:rPr>
        <w:t>Pokud má podnikatel reálné roční náklady například 850 000 Kč (nájem kanceláře, technika, služby, doprava), základ daně klesne na 350 000 Kč.</w:t>
      </w:r>
      <w:r w:rsidRPr="004B0018">
        <w:rPr>
          <w:rFonts w:ascii="Arial" w:eastAsia="Arial" w:hAnsi="Arial" w:cs="Arial"/>
          <w:b/>
          <w:bCs/>
          <w:color w:val="000000"/>
          <w:sz w:val="20"/>
          <w:szCs w:val="20"/>
        </w:rPr>
        <w:t xml:space="preserve"> </w:t>
      </w:r>
      <w:r w:rsidRPr="004B0018">
        <w:rPr>
          <w:rFonts w:ascii="Arial" w:eastAsia="Arial" w:hAnsi="Arial" w:cs="Arial"/>
          <w:color w:val="000000"/>
          <w:sz w:val="20"/>
          <w:szCs w:val="20"/>
        </w:rPr>
        <w:t xml:space="preserve">Po uplatnění základní slevy na poplatníka zaplatí na dani zhruba </w:t>
      </w:r>
      <w:sdt>
        <w:sdtPr>
          <w:rPr>
            <w:sz w:val="20"/>
            <w:szCs w:val="20"/>
          </w:rPr>
          <w:tag w:val="goog_rdk_1"/>
          <w:id w:val="-1862405689"/>
        </w:sdtPr>
        <w:sdtContent/>
      </w:sdt>
      <w:r w:rsidRPr="004B0018">
        <w:rPr>
          <w:rFonts w:ascii="Arial" w:eastAsia="Arial" w:hAnsi="Arial" w:cs="Arial"/>
          <w:color w:val="000000"/>
          <w:sz w:val="20"/>
          <w:szCs w:val="20"/>
        </w:rPr>
        <w:t>2</w:t>
      </w:r>
      <w:r w:rsidRPr="004B0018">
        <w:rPr>
          <w:rFonts w:ascii="Arial" w:eastAsia="Arial" w:hAnsi="Arial" w:cs="Arial"/>
          <w:sz w:val="20"/>
          <w:szCs w:val="20"/>
        </w:rPr>
        <w:t>2</w:t>
      </w:r>
      <w:r w:rsidRPr="004B0018">
        <w:rPr>
          <w:rFonts w:ascii="Arial" w:eastAsia="Arial" w:hAnsi="Arial" w:cs="Arial"/>
          <w:color w:val="000000"/>
          <w:sz w:val="20"/>
          <w:szCs w:val="20"/>
        </w:rPr>
        <w:t xml:space="preserve"> 000 Kč.</w:t>
      </w:r>
      <w:r w:rsidRPr="004B0018">
        <w:rPr>
          <w:rFonts w:ascii="Arial" w:eastAsia="Arial" w:hAnsi="Arial" w:cs="Arial"/>
          <w:b/>
          <w:bCs/>
          <w:color w:val="000000"/>
          <w:sz w:val="20"/>
          <w:szCs w:val="20"/>
        </w:rPr>
        <w:t xml:space="preserve"> </w:t>
      </w:r>
    </w:p>
    <w:p w14:paraId="14A1352D" w14:textId="77777777" w:rsidR="00550D78" w:rsidRPr="004B0018" w:rsidRDefault="00550D78" w:rsidP="00550D78">
      <w:pPr>
        <w:spacing w:before="280" w:after="80"/>
        <w:rPr>
          <w:rFonts w:ascii="Arial" w:eastAsia="Arial" w:hAnsi="Arial" w:cs="Arial"/>
          <w:color w:val="000000"/>
          <w:sz w:val="20"/>
          <w:szCs w:val="20"/>
        </w:rPr>
      </w:pPr>
      <w:r w:rsidRPr="004B0018">
        <w:rPr>
          <w:rFonts w:ascii="Arial" w:eastAsia="Arial" w:hAnsi="Arial" w:cs="Arial"/>
          <w:color w:val="000000"/>
          <w:sz w:val="20"/>
          <w:szCs w:val="20"/>
        </w:rPr>
        <w:t>Rozdíl: Použití skutečných výdajů v tomto případě znamená úsporu přibližně 19 000 Kč ročně pouze na dani z příjmů. U vyšších příjmů nebo vyšších reálných nákladů se rozdíl dál prohlubuje.</w:t>
      </w:r>
    </w:p>
    <w:p w14:paraId="0781AEEE"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Modelový příklad: OSVČ s jedním dítětem, roční příjmy 800 000 Kč</w:t>
      </w:r>
      <w:r>
        <w:rPr>
          <w:rFonts w:ascii="Arial" w:eastAsia="Arial" w:hAnsi="Arial" w:cs="Arial"/>
          <w:b/>
          <w:bCs/>
          <w:color w:val="000000"/>
          <w:sz w:val="20"/>
          <w:szCs w:val="20"/>
        </w:rPr>
        <w:br/>
      </w:r>
      <w:r w:rsidRPr="004B0018">
        <w:rPr>
          <w:rFonts w:ascii="Arial" w:eastAsia="Arial" w:hAnsi="Arial" w:cs="Arial"/>
          <w:color w:val="000000"/>
          <w:sz w:val="20"/>
          <w:szCs w:val="20"/>
        </w:rPr>
        <w:t>Podnikatel s ročními příjmy 800 000 Kč řeší, zda se mu vyplatí jednoduché uplatnění paušálních výdajů, nebo detailní evidence skutečných nákladů. Zároveň uplatňuje daňové zvýhodnění na jedno dítě.</w:t>
      </w:r>
    </w:p>
    <w:p w14:paraId="1520A10D"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Varianta A: Paušální výdaje (60 %)</w:t>
      </w:r>
      <w:r w:rsidRPr="004B0018">
        <w:rPr>
          <w:rFonts w:ascii="Arial" w:eastAsia="Arial" w:hAnsi="Arial" w:cs="Arial"/>
          <w:b/>
          <w:bCs/>
          <w:color w:val="000000"/>
          <w:sz w:val="20"/>
          <w:szCs w:val="20"/>
        </w:rPr>
        <w:br/>
      </w:r>
      <w:r w:rsidRPr="004B0018">
        <w:rPr>
          <w:rFonts w:ascii="Arial" w:eastAsia="Arial" w:hAnsi="Arial" w:cs="Arial"/>
          <w:color w:val="000000"/>
          <w:sz w:val="20"/>
          <w:szCs w:val="20"/>
        </w:rPr>
        <w:t>OSVČ uplatní paušální výdaje ve výši 480 000 Kč.</w:t>
      </w:r>
      <w:r w:rsidRPr="004B0018">
        <w:rPr>
          <w:rFonts w:ascii="Arial" w:eastAsia="Arial" w:hAnsi="Arial" w:cs="Arial"/>
          <w:b/>
          <w:bCs/>
          <w:color w:val="000000"/>
          <w:sz w:val="20"/>
          <w:szCs w:val="20"/>
        </w:rPr>
        <w:br/>
      </w:r>
      <w:r w:rsidRPr="004B0018">
        <w:rPr>
          <w:rFonts w:ascii="Arial" w:eastAsia="Arial" w:hAnsi="Arial" w:cs="Arial"/>
          <w:color w:val="000000"/>
          <w:sz w:val="20"/>
          <w:szCs w:val="20"/>
        </w:rPr>
        <w:t>Základ daně činí 320 000 Kč.</w:t>
      </w:r>
      <w:r w:rsidRPr="004B0018">
        <w:rPr>
          <w:rFonts w:ascii="Arial" w:eastAsia="Arial" w:hAnsi="Arial" w:cs="Arial"/>
          <w:b/>
          <w:bCs/>
          <w:color w:val="000000"/>
          <w:sz w:val="20"/>
          <w:szCs w:val="20"/>
        </w:rPr>
        <w:br/>
      </w:r>
      <w:r w:rsidRPr="004B0018">
        <w:rPr>
          <w:rFonts w:ascii="Arial" w:eastAsia="Arial" w:hAnsi="Arial" w:cs="Arial"/>
          <w:color w:val="000000"/>
          <w:sz w:val="20"/>
          <w:szCs w:val="20"/>
        </w:rPr>
        <w:t>Vypočtená daň před slevami odpovídá přibližně 48 000 Kč.</w:t>
      </w:r>
    </w:p>
    <w:p w14:paraId="1FCF393B" w14:textId="77777777" w:rsidR="00550D78" w:rsidRPr="004B0018" w:rsidRDefault="00550D78" w:rsidP="00550D78">
      <w:pPr>
        <w:spacing w:before="280" w:after="80"/>
        <w:rPr>
          <w:rFonts w:ascii="Arial" w:eastAsia="Arial" w:hAnsi="Arial" w:cs="Arial"/>
          <w:color w:val="000000"/>
          <w:sz w:val="20"/>
          <w:szCs w:val="20"/>
        </w:rPr>
      </w:pPr>
      <w:r w:rsidRPr="004B0018">
        <w:rPr>
          <w:rFonts w:ascii="Arial" w:eastAsia="Arial" w:hAnsi="Arial" w:cs="Arial"/>
          <w:color w:val="000000"/>
          <w:sz w:val="20"/>
          <w:szCs w:val="20"/>
        </w:rPr>
        <w:t>Po uplatnění základní slevy na poplatníka se daň výrazně sníží a po započtení daňového zvýhodnění na dítě může výsledná daňová povinnost klesnout na jednotky tisíc korun, případně vzniká nárok na daňový bonus.</w:t>
      </w:r>
    </w:p>
    <w:p w14:paraId="6BD3472D" w14:textId="77777777" w:rsidR="00550D78" w:rsidRPr="004B0018" w:rsidRDefault="00550D78" w:rsidP="00550D78">
      <w:pPr>
        <w:spacing w:before="280" w:after="80"/>
        <w:rPr>
          <w:rFonts w:ascii="Arial" w:eastAsia="Arial" w:hAnsi="Arial" w:cs="Arial"/>
          <w:b/>
          <w:bCs/>
          <w:color w:val="000000"/>
          <w:sz w:val="20"/>
          <w:szCs w:val="20"/>
        </w:rPr>
      </w:pPr>
      <w:r w:rsidRPr="004B0018">
        <w:rPr>
          <w:rFonts w:ascii="Arial" w:eastAsia="Arial" w:hAnsi="Arial" w:cs="Arial"/>
          <w:b/>
          <w:bCs/>
          <w:color w:val="000000"/>
          <w:sz w:val="20"/>
          <w:szCs w:val="20"/>
        </w:rPr>
        <w:t>Varianta B: Skutečné výdaje</w:t>
      </w:r>
      <w:r w:rsidRPr="004B0018">
        <w:rPr>
          <w:rFonts w:ascii="Arial" w:eastAsia="Arial" w:hAnsi="Arial" w:cs="Arial"/>
          <w:b/>
          <w:bCs/>
          <w:color w:val="000000"/>
          <w:sz w:val="20"/>
          <w:szCs w:val="20"/>
        </w:rPr>
        <w:br/>
      </w:r>
      <w:r w:rsidRPr="004B0018">
        <w:rPr>
          <w:rFonts w:ascii="Arial" w:eastAsia="Arial" w:hAnsi="Arial" w:cs="Arial"/>
          <w:color w:val="000000"/>
          <w:sz w:val="20"/>
          <w:szCs w:val="20"/>
        </w:rPr>
        <w:t>Pokud má podnikatel reálné roční náklady ve výši například 600 000 Kč (</w:t>
      </w:r>
      <w:proofErr w:type="spellStart"/>
      <w:r w:rsidRPr="004B0018">
        <w:rPr>
          <w:rFonts w:ascii="Arial" w:eastAsia="Arial" w:hAnsi="Arial" w:cs="Arial"/>
          <w:color w:val="000000"/>
          <w:sz w:val="20"/>
          <w:szCs w:val="20"/>
        </w:rPr>
        <w:t>home</w:t>
      </w:r>
      <w:proofErr w:type="spellEnd"/>
      <w:r w:rsidRPr="004B0018">
        <w:rPr>
          <w:rFonts w:ascii="Arial" w:eastAsia="Arial" w:hAnsi="Arial" w:cs="Arial"/>
          <w:color w:val="000000"/>
          <w:sz w:val="20"/>
          <w:szCs w:val="20"/>
        </w:rPr>
        <w:t xml:space="preserve"> office, auto v podnikání, služby, účetnictví), základ daně klesne na 200 000 Kč.</w:t>
      </w:r>
      <w:r w:rsidRPr="004B0018">
        <w:rPr>
          <w:rFonts w:ascii="Arial" w:eastAsia="Arial" w:hAnsi="Arial" w:cs="Arial"/>
          <w:b/>
          <w:bCs/>
          <w:color w:val="000000"/>
          <w:sz w:val="20"/>
          <w:szCs w:val="20"/>
        </w:rPr>
        <w:t xml:space="preserve"> </w:t>
      </w:r>
      <w:r w:rsidRPr="004B0018">
        <w:rPr>
          <w:rFonts w:ascii="Arial" w:eastAsia="Arial" w:hAnsi="Arial" w:cs="Arial"/>
          <w:color w:val="000000"/>
          <w:sz w:val="20"/>
          <w:szCs w:val="20"/>
        </w:rPr>
        <w:t>Vypočtená daň je zhruba 30 000 Kč. Po uplatnění základní slevy na poplatníka je daňová povinnost prakticky nulová a daňové zvýhodnění na dítě se plně projeví formou daňového bonusu vyplaceného státem.</w:t>
      </w:r>
    </w:p>
    <w:p w14:paraId="187DAC33" w14:textId="101C4BCD" w:rsidR="00DA4CF8" w:rsidRPr="00550D78" w:rsidRDefault="00550D78" w:rsidP="00550D78">
      <w:pPr>
        <w:spacing w:before="280" w:after="80"/>
        <w:rPr>
          <w:rFonts w:ascii="Arial" w:eastAsia="Arial" w:hAnsi="Arial" w:cs="Arial"/>
          <w:color w:val="000000"/>
          <w:sz w:val="20"/>
          <w:szCs w:val="20"/>
        </w:rPr>
      </w:pPr>
      <w:r w:rsidRPr="004B0018">
        <w:rPr>
          <w:rFonts w:ascii="Arial" w:eastAsia="Arial" w:hAnsi="Arial" w:cs="Arial"/>
          <w:color w:val="000000"/>
          <w:sz w:val="20"/>
          <w:szCs w:val="20"/>
        </w:rPr>
        <w:t>Rozdíl: V tomto případě nevede volba skutečných výdajů jen k nižší dani, ale k reálnému příjmu navíc díky daňovému bonusu. Rozdíl mezi paušálními a skutečnými výdaji může činit 15–25 tisíc korun ročně, podle výše uplatněných nákladů a rodinné situace. Právě u OSVČ s dětmi se tak detailní evidence výdajů často vyplatí výrazně více než paušál.</w:t>
      </w:r>
    </w:p>
    <w:sectPr w:rsidR="00DA4CF8" w:rsidRPr="00550D78" w:rsidSect="00550D78">
      <w:pgSz w:w="12240" w:h="15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78"/>
    <w:rsid w:val="00193F80"/>
    <w:rsid w:val="00313B41"/>
    <w:rsid w:val="004A6749"/>
    <w:rsid w:val="004F52C3"/>
    <w:rsid w:val="00550D78"/>
    <w:rsid w:val="00821565"/>
    <w:rsid w:val="00A5741F"/>
    <w:rsid w:val="00B2380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59DB64B"/>
  <w15:chartTrackingRefBased/>
  <w15:docId w15:val="{A7CC0CE7-C643-7B44-A89E-BAFEDC707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50D78"/>
    <w:rPr>
      <w:rFonts w:ascii="Aptos" w:eastAsia="Aptos" w:hAnsi="Aptos" w:cs="Aptos"/>
      <w:lang w:val="cs" w:eastAsia="cs-CZ"/>
    </w:rPr>
  </w:style>
  <w:style w:type="paragraph" w:styleId="Nadpis1">
    <w:name w:val="heading 1"/>
    <w:basedOn w:val="Normln"/>
    <w:next w:val="Normln"/>
    <w:link w:val="Nadpis1Char"/>
    <w:uiPriority w:val="9"/>
    <w:qFormat/>
    <w:rsid w:val="00550D78"/>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550D78"/>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550D78"/>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550D78"/>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550D78"/>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550D78"/>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550D78"/>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550D78"/>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550D78"/>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50D7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50D7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50D7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50D7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50D7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50D7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50D7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50D7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50D78"/>
    <w:rPr>
      <w:rFonts w:eastAsiaTheme="majorEastAsia" w:cstheme="majorBidi"/>
      <w:color w:val="272727" w:themeColor="text1" w:themeTint="D8"/>
    </w:rPr>
  </w:style>
  <w:style w:type="paragraph" w:styleId="Nzev">
    <w:name w:val="Title"/>
    <w:basedOn w:val="Normln"/>
    <w:next w:val="Normln"/>
    <w:link w:val="NzevChar"/>
    <w:uiPriority w:val="10"/>
    <w:qFormat/>
    <w:rsid w:val="00550D78"/>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550D7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50D78"/>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550D7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50D78"/>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550D78"/>
    <w:rPr>
      <w:i/>
      <w:iCs/>
      <w:color w:val="404040" w:themeColor="text1" w:themeTint="BF"/>
    </w:rPr>
  </w:style>
  <w:style w:type="paragraph" w:styleId="Odstavecseseznamem">
    <w:name w:val="List Paragraph"/>
    <w:basedOn w:val="Normln"/>
    <w:uiPriority w:val="34"/>
    <w:qFormat/>
    <w:rsid w:val="00550D78"/>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550D78"/>
    <w:rPr>
      <w:i/>
      <w:iCs/>
      <w:color w:val="0F4761" w:themeColor="accent1" w:themeShade="BF"/>
    </w:rPr>
  </w:style>
  <w:style w:type="paragraph" w:styleId="Vrazncitt">
    <w:name w:val="Intense Quote"/>
    <w:basedOn w:val="Normln"/>
    <w:next w:val="Normln"/>
    <w:link w:val="VrazncittChar"/>
    <w:uiPriority w:val="30"/>
    <w:qFormat/>
    <w:rsid w:val="00550D7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550D78"/>
    <w:rPr>
      <w:i/>
      <w:iCs/>
      <w:color w:val="0F4761" w:themeColor="accent1" w:themeShade="BF"/>
    </w:rPr>
  </w:style>
  <w:style w:type="character" w:styleId="Odkazintenzivn">
    <w:name w:val="Intense Reference"/>
    <w:basedOn w:val="Standardnpsmoodstavce"/>
    <w:uiPriority w:val="32"/>
    <w:qFormat/>
    <w:rsid w:val="00550D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1120</Words>
  <Characters>6140</Characters>
  <Application>Microsoft Office Word</Application>
  <DocSecurity>0</DocSecurity>
  <Lines>90</Lines>
  <Paragraphs>22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7238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2026-02-11T06:37:00Z</dcterms:created>
  <dcterms:modified xsi:type="dcterms:W3CDTF">2026-02-11T06:41:00Z</dcterms:modified>
  <cp:category/>
</cp:coreProperties>
</file>