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FD8196" w14:textId="77777777" w:rsidR="00901EDF" w:rsidRDefault="004C6DF8" w:rsidP="004C6DF8">
      <w:pPr>
        <w:jc w:val="center"/>
        <w:rPr>
          <w:rFonts w:ascii="Arial" w:eastAsia="Arial" w:hAnsi="Arial" w:cs="Arial"/>
          <w:b/>
          <w:sz w:val="28"/>
          <w:szCs w:val="28"/>
        </w:rPr>
      </w:pPr>
      <w:r w:rsidRPr="004C6DF8">
        <w:rPr>
          <w:rFonts w:ascii="Arial" w:eastAsia="Arial" w:hAnsi="Arial" w:cs="Arial"/>
          <w:b/>
          <w:sz w:val="28"/>
          <w:szCs w:val="28"/>
        </w:rPr>
        <w:t xml:space="preserve">Jak si jako zaměstnanec můžete snížit daně a nepřipravit </w:t>
      </w:r>
      <w:r w:rsidRPr="004C6DF8">
        <w:rPr>
          <w:rFonts w:ascii="Arial" w:eastAsia="Arial" w:hAnsi="Arial" w:cs="Arial"/>
          <w:b/>
          <w:sz w:val="28"/>
          <w:szCs w:val="28"/>
        </w:rPr>
        <w:br/>
        <w:t>se o peníze, na které máte nárok</w:t>
      </w:r>
    </w:p>
    <w:p w14:paraId="578E309A" w14:textId="77777777" w:rsidR="00901EDF" w:rsidRDefault="00901EDF" w:rsidP="00901EDF">
      <w:pPr>
        <w:pStyle w:val="Odstavecseseznamem"/>
        <w:numPr>
          <w:ilvl w:val="0"/>
          <w:numId w:val="3"/>
        </w:numPr>
        <w:jc w:val="center"/>
        <w:rPr>
          <w:rFonts w:ascii="Arial" w:eastAsia="Arial" w:hAnsi="Arial" w:cs="Arial"/>
          <w:b/>
        </w:rPr>
      </w:pPr>
      <w:r w:rsidRPr="00901EDF">
        <w:rPr>
          <w:rFonts w:ascii="Arial" w:eastAsia="Arial" w:hAnsi="Arial" w:cs="Arial"/>
          <w:b/>
        </w:rPr>
        <w:t>Roční zúčtování daně je pro zaměstnance nejjednodušší cestou, jak využít daňové úlevy bez nutnosti podávat vlastní daňové přiznání</w:t>
      </w:r>
    </w:p>
    <w:p w14:paraId="31BD427D" w14:textId="17984A7B" w:rsidR="00F716A4" w:rsidRPr="00901EDF" w:rsidRDefault="00901EDF" w:rsidP="00901EDF">
      <w:pPr>
        <w:pStyle w:val="Odstavecseseznamem"/>
        <w:numPr>
          <w:ilvl w:val="0"/>
          <w:numId w:val="3"/>
        </w:numPr>
        <w:jc w:val="center"/>
        <w:rPr>
          <w:rFonts w:ascii="Arial" w:eastAsia="Arial" w:hAnsi="Arial" w:cs="Arial"/>
          <w:b/>
        </w:rPr>
      </w:pPr>
      <w:r w:rsidRPr="00901EDF">
        <w:rPr>
          <w:rFonts w:ascii="Arial" w:eastAsia="Arial" w:hAnsi="Arial" w:cs="Arial"/>
          <w:b/>
        </w:rPr>
        <w:t xml:space="preserve">Zároveň platí, že zaměstnavatel ani mzdová účetní nemohou nic domýšlet </w:t>
      </w:r>
      <w:r>
        <w:rPr>
          <w:rFonts w:ascii="Arial" w:eastAsia="Arial" w:hAnsi="Arial" w:cs="Arial"/>
          <w:b/>
        </w:rPr>
        <w:t xml:space="preserve">a </w:t>
      </w:r>
      <w:r w:rsidRPr="00901EDF">
        <w:rPr>
          <w:rFonts w:ascii="Arial" w:eastAsia="Arial" w:hAnsi="Arial" w:cs="Arial"/>
          <w:b/>
        </w:rPr>
        <w:t>dohledávat za vás. Pokud dokumenty nedodáte, nárok na úlevy zaniká</w:t>
      </w:r>
      <w:r w:rsidR="00F716A4" w:rsidRPr="00901EDF">
        <w:rPr>
          <w:rFonts w:ascii="Arial" w:eastAsia="Arial" w:hAnsi="Arial" w:cs="Arial"/>
          <w:b/>
        </w:rPr>
        <w:br/>
      </w:r>
    </w:p>
    <w:p w14:paraId="54D03858" w14:textId="229C9F1F" w:rsidR="004C6DF8" w:rsidRPr="00901EDF" w:rsidRDefault="005B6215" w:rsidP="00F716A4">
      <w:pPr>
        <w:rPr>
          <w:rFonts w:ascii="Arial" w:eastAsia="Arial" w:hAnsi="Arial" w:cs="Arial"/>
          <w:b/>
        </w:rPr>
      </w:pPr>
      <w:r w:rsidRPr="00901EDF">
        <w:rPr>
          <w:rFonts w:ascii="Arial" w:eastAsia="Arial" w:hAnsi="Arial" w:cs="Arial"/>
          <w:b/>
        </w:rPr>
        <w:t xml:space="preserve">Praha, </w:t>
      </w:r>
      <w:r w:rsidR="001E13D1">
        <w:rPr>
          <w:rFonts w:ascii="Arial" w:eastAsia="Arial" w:hAnsi="Arial" w:cs="Arial"/>
          <w:b/>
        </w:rPr>
        <w:t>30</w:t>
      </w:r>
      <w:r w:rsidRPr="00901EDF">
        <w:rPr>
          <w:rFonts w:ascii="Arial" w:eastAsia="Arial" w:hAnsi="Arial" w:cs="Arial"/>
          <w:b/>
        </w:rPr>
        <w:t xml:space="preserve">. </w:t>
      </w:r>
      <w:r w:rsidR="004C6DF8" w:rsidRPr="00901EDF">
        <w:rPr>
          <w:rFonts w:ascii="Arial" w:eastAsia="Arial" w:hAnsi="Arial" w:cs="Arial"/>
          <w:b/>
        </w:rPr>
        <w:t>ledna</w:t>
      </w:r>
      <w:r w:rsidRPr="00901EDF">
        <w:rPr>
          <w:rFonts w:ascii="Arial" w:eastAsia="Arial" w:hAnsi="Arial" w:cs="Arial"/>
          <w:b/>
        </w:rPr>
        <w:t xml:space="preserve"> 202</w:t>
      </w:r>
      <w:r w:rsidR="001E13D1">
        <w:rPr>
          <w:rFonts w:ascii="Arial" w:eastAsia="Arial" w:hAnsi="Arial" w:cs="Arial"/>
          <w:b/>
        </w:rPr>
        <w:t>6</w:t>
      </w:r>
      <w:r w:rsidRPr="00901EDF">
        <w:rPr>
          <w:rFonts w:ascii="Arial" w:eastAsia="Arial" w:hAnsi="Arial" w:cs="Arial"/>
          <w:b/>
        </w:rPr>
        <w:t xml:space="preserve"> </w:t>
      </w:r>
      <w:r w:rsidR="00F716A4" w:rsidRPr="00901EDF">
        <w:rPr>
          <w:rFonts w:ascii="Arial" w:eastAsia="Arial" w:hAnsi="Arial" w:cs="Arial"/>
          <w:b/>
        </w:rPr>
        <w:t>-</w:t>
      </w:r>
      <w:r w:rsidRPr="00901EDF">
        <w:rPr>
          <w:rFonts w:ascii="Arial" w:eastAsia="Arial" w:hAnsi="Arial" w:cs="Arial"/>
          <w:b/>
        </w:rPr>
        <w:t xml:space="preserve"> </w:t>
      </w:r>
      <w:r w:rsidR="004C6DF8" w:rsidRPr="00901EDF">
        <w:rPr>
          <w:rFonts w:ascii="Arial" w:eastAsia="Arial" w:hAnsi="Arial" w:cs="Arial"/>
          <w:b/>
        </w:rPr>
        <w:t xml:space="preserve">Začátek roku je pro většinu zaměstnanců ideální příležitostí zastavit se a zkontrolovat, zda neplatí na daních zbytečně víc, než musí. Roční zúčtování daně totiž není jen administrativní povinnost, ale také šance získat část peněz zpět. </w:t>
      </w:r>
    </w:p>
    <w:p w14:paraId="24A03D75" w14:textId="088ED9F6" w:rsidR="004C6DF8" w:rsidRPr="00901EDF" w:rsidRDefault="004C6DF8" w:rsidP="00F716A4">
      <w:pPr>
        <w:rPr>
          <w:rFonts w:ascii="Arial" w:eastAsia="Arial" w:hAnsi="Arial" w:cs="Arial"/>
          <w:bCs/>
        </w:rPr>
      </w:pPr>
      <w:r w:rsidRPr="00901EDF">
        <w:rPr>
          <w:rFonts w:ascii="Arial" w:eastAsia="Arial" w:hAnsi="Arial" w:cs="Arial"/>
          <w:bCs/>
        </w:rPr>
        <w:t>„Stát umožňuje uplatnit celou řadu slev a odpočtů, které se týkají běžných životních situací – bydlení, rodiny, spoření na stáří nebo třeba darování krve. Klíčové ale je vědět, na co máte nárok</w:t>
      </w:r>
      <w:r w:rsidR="00447C8B" w:rsidRPr="00901EDF">
        <w:rPr>
          <w:rFonts w:ascii="Arial" w:eastAsia="Arial" w:hAnsi="Arial" w:cs="Arial"/>
          <w:bCs/>
        </w:rPr>
        <w:t>.</w:t>
      </w:r>
      <w:r w:rsidRPr="00901EDF">
        <w:rPr>
          <w:rFonts w:ascii="Arial" w:eastAsia="Arial" w:hAnsi="Arial" w:cs="Arial"/>
          <w:bCs/>
        </w:rPr>
        <w:t xml:space="preserve"> </w:t>
      </w:r>
      <w:r w:rsidR="00447C8B" w:rsidRPr="00901EDF">
        <w:rPr>
          <w:rFonts w:ascii="Arial" w:eastAsia="Arial" w:hAnsi="Arial" w:cs="Arial"/>
          <w:bCs/>
        </w:rPr>
        <w:t>A</w:t>
      </w:r>
      <w:r w:rsidRPr="00901EDF">
        <w:rPr>
          <w:rFonts w:ascii="Arial" w:eastAsia="Arial" w:hAnsi="Arial" w:cs="Arial"/>
          <w:bCs/>
        </w:rPr>
        <w:t xml:space="preserve"> hlavně co musíte dodat svému zaměstnavateli nebo mzdové účetní, aby mohli tyto úlevy správně započítat,“ říká Anna </w:t>
      </w:r>
      <w:proofErr w:type="spellStart"/>
      <w:r w:rsidRPr="00901EDF">
        <w:rPr>
          <w:rFonts w:ascii="Arial" w:eastAsia="Arial" w:hAnsi="Arial" w:cs="Arial"/>
          <w:bCs/>
        </w:rPr>
        <w:t>Kevorkyan</w:t>
      </w:r>
      <w:proofErr w:type="spellEnd"/>
      <w:r w:rsidRPr="00901EDF">
        <w:rPr>
          <w:rFonts w:ascii="Arial" w:eastAsia="Arial" w:hAnsi="Arial" w:cs="Arial"/>
          <w:bCs/>
        </w:rPr>
        <w:t>, CEO pracovního portálu JenPráce.cz.</w:t>
      </w:r>
    </w:p>
    <w:p w14:paraId="41E41015" w14:textId="3A55BF39" w:rsidR="004C6DF8" w:rsidRPr="00901EDF" w:rsidRDefault="004C6DF8" w:rsidP="004C6DF8">
      <w:pPr>
        <w:pStyle w:val="Normlnweb"/>
        <w:rPr>
          <w:rFonts w:ascii="Arial" w:hAnsi="Arial" w:cs="Arial"/>
          <w:color w:val="000000"/>
          <w:sz w:val="22"/>
          <w:szCs w:val="22"/>
        </w:rPr>
      </w:pPr>
      <w:r w:rsidRPr="00901EDF">
        <w:rPr>
          <w:rStyle w:val="Siln"/>
          <w:rFonts w:ascii="Arial" w:eastAsiaTheme="majorEastAsia" w:hAnsi="Arial" w:cs="Arial"/>
          <w:color w:val="000000"/>
          <w:sz w:val="22"/>
          <w:szCs w:val="22"/>
        </w:rPr>
        <w:t xml:space="preserve">Změna zaměstnání a </w:t>
      </w:r>
      <w:r w:rsidR="00447C8B" w:rsidRPr="00901EDF">
        <w:rPr>
          <w:rStyle w:val="Siln"/>
          <w:rFonts w:ascii="Arial" w:eastAsiaTheme="majorEastAsia" w:hAnsi="Arial" w:cs="Arial"/>
          <w:color w:val="000000"/>
          <w:sz w:val="22"/>
          <w:szCs w:val="22"/>
        </w:rPr>
        <w:t>období bez práce</w:t>
      </w:r>
      <w:r w:rsidRPr="00901EDF">
        <w:rPr>
          <w:rFonts w:ascii="Arial" w:hAnsi="Arial" w:cs="Arial"/>
          <w:color w:val="000000"/>
          <w:sz w:val="22"/>
          <w:szCs w:val="22"/>
        </w:rPr>
        <w:br/>
      </w:r>
      <w:r w:rsidR="00447C8B" w:rsidRPr="00901EDF">
        <w:rPr>
          <w:rFonts w:ascii="Arial" w:hAnsi="Arial" w:cs="Arial"/>
          <w:color w:val="000000"/>
          <w:sz w:val="22"/>
          <w:szCs w:val="22"/>
        </w:rPr>
        <w:t>„</w:t>
      </w:r>
      <w:r w:rsidRPr="00901EDF">
        <w:rPr>
          <w:rFonts w:ascii="Arial" w:hAnsi="Arial" w:cs="Arial"/>
          <w:color w:val="000000"/>
          <w:sz w:val="22"/>
          <w:szCs w:val="22"/>
        </w:rPr>
        <w:t>Pokud jste v průběhu roku 2025 změnili zaměstnání, je první a zcela zásadní povinností dodat potvrzení o zdanitelných příjmech od všech předchozích zaměstnavatelů. Bez těchto dokladů není možné roční zúčtování provést kompletně a správně. Často se také zapomíná na období, kdy člověk nepracoval. Jestliže jste byli evidováni na Úřadu práce, je potřeba tuto skutečnost doložit oficiálním potvrzením. Pokud jste měli část roku období bez zdanitelných příjmů a nebyli jste ani zaměstnaní, ani evidovaní, nahrazuje tento doklad čestné prohlášení. Právě tyto „mezery“ v roce bývají častým zdrojem chyb</w:t>
      </w:r>
      <w:r w:rsidR="00447C8B" w:rsidRPr="00901EDF">
        <w:rPr>
          <w:rFonts w:ascii="Arial" w:hAnsi="Arial" w:cs="Arial"/>
          <w:color w:val="000000"/>
          <w:sz w:val="22"/>
          <w:szCs w:val="22"/>
        </w:rPr>
        <w:t xml:space="preserve">,“ říká Jana </w:t>
      </w:r>
      <w:proofErr w:type="spellStart"/>
      <w:r w:rsidR="00447C8B" w:rsidRPr="00901EDF">
        <w:rPr>
          <w:rFonts w:ascii="Arial" w:hAnsi="Arial" w:cs="Arial"/>
          <w:color w:val="000000"/>
          <w:sz w:val="22"/>
          <w:szCs w:val="22"/>
        </w:rPr>
        <w:t>Jáčová</w:t>
      </w:r>
      <w:proofErr w:type="spellEnd"/>
      <w:r w:rsidR="00447C8B" w:rsidRPr="00901EDF">
        <w:rPr>
          <w:rFonts w:ascii="Arial" w:hAnsi="Arial" w:cs="Arial"/>
          <w:color w:val="000000"/>
          <w:sz w:val="22"/>
          <w:szCs w:val="22"/>
        </w:rPr>
        <w:t>, ředitelka UOL Účetnictví.</w:t>
      </w:r>
    </w:p>
    <w:p w14:paraId="5C699799" w14:textId="6F73995C" w:rsidR="004C6DF8" w:rsidRPr="00901EDF" w:rsidRDefault="004C6DF8" w:rsidP="004C6DF8">
      <w:pPr>
        <w:pStyle w:val="Normlnweb"/>
        <w:rPr>
          <w:rFonts w:ascii="Arial" w:hAnsi="Arial" w:cs="Arial"/>
          <w:color w:val="000000"/>
          <w:sz w:val="22"/>
          <w:szCs w:val="22"/>
        </w:rPr>
      </w:pPr>
      <w:r w:rsidRPr="00901EDF">
        <w:rPr>
          <w:rStyle w:val="Siln"/>
          <w:rFonts w:ascii="Arial" w:eastAsiaTheme="majorEastAsia" w:hAnsi="Arial" w:cs="Arial"/>
          <w:color w:val="000000"/>
          <w:sz w:val="22"/>
          <w:szCs w:val="22"/>
        </w:rPr>
        <w:t>Dary jako jednoduchý způsob, jak snížit daňový základ</w:t>
      </w:r>
      <w:r w:rsidRPr="00901EDF">
        <w:rPr>
          <w:rFonts w:ascii="Arial" w:hAnsi="Arial" w:cs="Arial"/>
          <w:color w:val="000000"/>
          <w:sz w:val="22"/>
          <w:szCs w:val="22"/>
        </w:rPr>
        <w:br/>
        <w:t>Mnoho zaměstnanců netuší, že i dary mohou snížit jejich daňovou povinnost. Pokud jste v roce 2025 přispěli na charitu, neziskovou organizaci, školství, zdravotnictví, kulturu nebo sport, případně jste darovali krev, máte možnost tyto částky uplatnit. Základem je potvrzení od příjemce daru, ze kterého musí být jasně patrné, komu byl dar poskytnut, v jaké hodnotě, za jakým účelem a kdy. U darování krve nebo jejích složek slouží jako doklad potvrzení vystavené zdravotnickým zařízením. Přestože se může zdát, že jde o drobnosti, v součtu mohou tyto položky znamenat citelné snížení základu daně.</w:t>
      </w:r>
    </w:p>
    <w:p w14:paraId="77950687" w14:textId="438D8C03" w:rsidR="004C6DF8" w:rsidRPr="00901EDF" w:rsidRDefault="004C6DF8" w:rsidP="004C6DF8">
      <w:pPr>
        <w:pStyle w:val="Normlnweb"/>
        <w:rPr>
          <w:rFonts w:ascii="Arial" w:hAnsi="Arial" w:cs="Arial"/>
          <w:color w:val="000000"/>
          <w:sz w:val="22"/>
          <w:szCs w:val="22"/>
        </w:rPr>
      </w:pPr>
      <w:r w:rsidRPr="00901EDF">
        <w:rPr>
          <w:rStyle w:val="Siln"/>
          <w:rFonts w:ascii="Arial" w:eastAsiaTheme="majorEastAsia" w:hAnsi="Arial" w:cs="Arial"/>
          <w:color w:val="000000"/>
          <w:sz w:val="22"/>
          <w:szCs w:val="22"/>
        </w:rPr>
        <w:t>Bydlení a hypotéka jako výrazná daňová úleva</w:t>
      </w:r>
      <w:r w:rsidRPr="00901EDF">
        <w:rPr>
          <w:rFonts w:ascii="Arial" w:hAnsi="Arial" w:cs="Arial"/>
          <w:color w:val="000000"/>
          <w:sz w:val="22"/>
          <w:szCs w:val="22"/>
        </w:rPr>
        <w:br/>
      </w:r>
      <w:r w:rsidR="00901EDF" w:rsidRPr="00901EDF">
        <w:rPr>
          <w:rFonts w:ascii="Arial" w:hAnsi="Arial" w:cs="Arial"/>
          <w:color w:val="000000"/>
          <w:sz w:val="22"/>
          <w:szCs w:val="22"/>
        </w:rPr>
        <w:t>„</w:t>
      </w:r>
      <w:r w:rsidRPr="00901EDF">
        <w:rPr>
          <w:rFonts w:ascii="Arial" w:hAnsi="Arial" w:cs="Arial"/>
          <w:color w:val="000000"/>
          <w:sz w:val="22"/>
          <w:szCs w:val="22"/>
        </w:rPr>
        <w:t>Jednou z nejvýznamnějších položek, kterou můžete v ročním zúčtování uplatnit, jsou zaplacené úroky z úvěru na bydlení. Typicky se jedná o hypotéku nebo úvěr ze stavebního spoření. Abyste mohli tuto úlevu využít, je nutné dodat potvrzení o zaplacených úrocích za rok 2025, úvěrovou smlouvu a také výpis z listu vlastnictví. Zaměstnavatel tak má jistotu, že nemovitost skutečně slouží k bytovým potřebám. Právě u hypoték se často bavíme o úspoře v řádu několika tisíc korun ročně</w:t>
      </w:r>
      <w:r w:rsidR="00901EDF" w:rsidRPr="00901EDF">
        <w:rPr>
          <w:rFonts w:ascii="Arial" w:hAnsi="Arial" w:cs="Arial"/>
          <w:color w:val="000000"/>
          <w:sz w:val="22"/>
          <w:szCs w:val="22"/>
        </w:rPr>
        <w:t>,“ říká Pavel Janeček z </w:t>
      </w:r>
      <w:hyperlink r:id="rId5" w:history="1">
        <w:proofErr w:type="spellStart"/>
        <w:r w:rsidR="00901EDF" w:rsidRPr="006B5CEF">
          <w:rPr>
            <w:rStyle w:val="Hypertextovodkaz"/>
            <w:rFonts w:ascii="Arial" w:hAnsi="Arial" w:cs="Arial"/>
            <w:sz w:val="22"/>
            <w:szCs w:val="22"/>
          </w:rPr>
          <w:t>Royal</w:t>
        </w:r>
        <w:proofErr w:type="spellEnd"/>
        <w:r w:rsidR="00901EDF" w:rsidRPr="006B5CEF">
          <w:rPr>
            <w:rStyle w:val="Hypertextovodkaz"/>
            <w:rFonts w:ascii="Arial" w:hAnsi="Arial" w:cs="Arial"/>
            <w:sz w:val="22"/>
            <w:szCs w:val="22"/>
          </w:rPr>
          <w:t xml:space="preserve"> </w:t>
        </w:r>
        <w:proofErr w:type="spellStart"/>
        <w:r w:rsidR="00901EDF" w:rsidRPr="006B5CEF">
          <w:rPr>
            <w:rStyle w:val="Hypertextovodkaz"/>
            <w:rFonts w:ascii="Arial" w:hAnsi="Arial" w:cs="Arial"/>
            <w:sz w:val="22"/>
            <w:szCs w:val="22"/>
          </w:rPr>
          <w:t>Bridge</w:t>
        </w:r>
        <w:proofErr w:type="spellEnd"/>
        <w:r w:rsidR="00901EDF" w:rsidRPr="006B5CEF">
          <w:rPr>
            <w:rStyle w:val="Hypertextovodkaz"/>
            <w:rFonts w:ascii="Arial" w:hAnsi="Arial" w:cs="Arial"/>
            <w:sz w:val="22"/>
            <w:szCs w:val="22"/>
          </w:rPr>
          <w:t xml:space="preserve"> </w:t>
        </w:r>
        <w:proofErr w:type="spellStart"/>
        <w:r w:rsidR="00901EDF" w:rsidRPr="006B5CEF">
          <w:rPr>
            <w:rStyle w:val="Hypertextovodkaz"/>
            <w:rFonts w:ascii="Arial" w:hAnsi="Arial" w:cs="Arial"/>
            <w:sz w:val="22"/>
            <w:szCs w:val="22"/>
          </w:rPr>
          <w:t>Partners</w:t>
        </w:r>
        <w:proofErr w:type="spellEnd"/>
        <w:r w:rsidR="00901EDF" w:rsidRPr="006B5CEF">
          <w:rPr>
            <w:rStyle w:val="Hypertextovodkaz"/>
            <w:rFonts w:ascii="Arial" w:hAnsi="Arial" w:cs="Arial"/>
            <w:sz w:val="22"/>
            <w:szCs w:val="22"/>
          </w:rPr>
          <w:t>.</w:t>
        </w:r>
      </w:hyperlink>
    </w:p>
    <w:p w14:paraId="18DC7BCA" w14:textId="5148B466" w:rsidR="00901EDF" w:rsidRPr="00901EDF" w:rsidRDefault="004C6DF8" w:rsidP="00901EDF">
      <w:pPr>
        <w:pStyle w:val="Normlnweb"/>
        <w:rPr>
          <w:rFonts w:ascii="Arial" w:hAnsi="Arial" w:cs="Arial"/>
          <w:color w:val="000000"/>
          <w:sz w:val="22"/>
          <w:szCs w:val="22"/>
        </w:rPr>
      </w:pPr>
      <w:r w:rsidRPr="00901EDF">
        <w:rPr>
          <w:rStyle w:val="Siln"/>
          <w:rFonts w:ascii="Arial" w:eastAsiaTheme="majorEastAsia" w:hAnsi="Arial" w:cs="Arial"/>
          <w:color w:val="000000"/>
          <w:sz w:val="22"/>
          <w:szCs w:val="22"/>
        </w:rPr>
        <w:t>Spoření na stáří a dlouhodobé finanční zajištění</w:t>
      </w:r>
      <w:r w:rsidRPr="00901EDF">
        <w:rPr>
          <w:rFonts w:ascii="Arial" w:hAnsi="Arial" w:cs="Arial"/>
          <w:color w:val="000000"/>
          <w:sz w:val="22"/>
          <w:szCs w:val="22"/>
        </w:rPr>
        <w:br/>
        <w:t>Velmi silnou oblastí daňových úlev jsou produkty spoření na stáří a dlouhodobé zajištění. Pokud si spoříte na penzi nebo máte sjednané životní pojištění, může vám stát umožnit odečíst si až 48 000 korun ročně ze základu daně.</w:t>
      </w:r>
      <w:r w:rsidR="00901EDF">
        <w:rPr>
          <w:rFonts w:ascii="Arial" w:hAnsi="Arial" w:cs="Arial"/>
          <w:color w:val="000000"/>
          <w:sz w:val="22"/>
          <w:szCs w:val="22"/>
        </w:rPr>
        <w:t xml:space="preserve"> </w:t>
      </w:r>
      <w:r w:rsidRPr="00901EDF">
        <w:rPr>
          <w:rFonts w:ascii="Arial" w:hAnsi="Arial" w:cs="Arial"/>
          <w:color w:val="000000"/>
          <w:sz w:val="22"/>
          <w:szCs w:val="22"/>
        </w:rPr>
        <w:t xml:space="preserve">Do této skupiny spadá penzijní připojištění se státním příspěvkem, doplňkové penzijní spoření, penzijní pojištění, soukromé životní pojištění, dlouhodobý investiční produkt i pojištění dlouhodobé péče. Vždy platí, že musíte doložit příslušnou smlouvu a potvrzení o zaplacených příspěvcích za rok 2025. </w:t>
      </w:r>
      <w:r w:rsidRPr="00901EDF">
        <w:rPr>
          <w:rFonts w:ascii="Arial" w:hAnsi="Arial" w:cs="Arial"/>
          <w:color w:val="000000"/>
          <w:sz w:val="22"/>
          <w:szCs w:val="22"/>
        </w:rPr>
        <w:lastRenderedPageBreak/>
        <w:t>Mnoho zaměstnanců přitom tyto dokumenty má, ale zapomene je dodat, čímž se zbytečně připraví o daňovou úsporu</w:t>
      </w:r>
      <w:r w:rsidR="00901EDF">
        <w:rPr>
          <w:rFonts w:ascii="Arial" w:hAnsi="Arial" w:cs="Arial"/>
          <w:color w:val="000000"/>
          <w:sz w:val="22"/>
          <w:szCs w:val="22"/>
        </w:rPr>
        <w:t>.</w:t>
      </w:r>
    </w:p>
    <w:p w14:paraId="091E7C1A" w14:textId="566F21CB" w:rsidR="004C6DF8" w:rsidRPr="00901EDF" w:rsidRDefault="004C6DF8" w:rsidP="004C6DF8">
      <w:pPr>
        <w:pStyle w:val="Normlnweb"/>
        <w:rPr>
          <w:rFonts w:ascii="Arial" w:hAnsi="Arial" w:cs="Arial"/>
          <w:color w:val="000000"/>
          <w:sz w:val="22"/>
          <w:szCs w:val="22"/>
        </w:rPr>
      </w:pPr>
      <w:r w:rsidRPr="00901EDF">
        <w:rPr>
          <w:rStyle w:val="Siln"/>
          <w:rFonts w:ascii="Arial" w:eastAsiaTheme="majorEastAsia" w:hAnsi="Arial" w:cs="Arial"/>
          <w:color w:val="000000"/>
          <w:sz w:val="22"/>
          <w:szCs w:val="22"/>
        </w:rPr>
        <w:t>Když se řešila exekuce</w:t>
      </w:r>
      <w:r w:rsidRPr="00901EDF">
        <w:rPr>
          <w:rFonts w:ascii="Arial" w:hAnsi="Arial" w:cs="Arial"/>
          <w:color w:val="000000"/>
          <w:sz w:val="22"/>
          <w:szCs w:val="22"/>
        </w:rPr>
        <w:br/>
        <w:t>Méně známou, ale stále důležitou úlevou je sleva na zastavenou exekuci. Pokud došlo k jejímu pravomocnému zastavení, máte možnost tuto skutečnost uplatnit v ročním zúčtování. Podmínkou je doložení usnesení o zastavení exekuce. I když se tato situace netýká každého, pro dotčené zaměstnance může znamenat další snížení daňové povinnosti.</w:t>
      </w:r>
    </w:p>
    <w:p w14:paraId="15066620" w14:textId="7BA838F6" w:rsidR="004C6DF8" w:rsidRPr="00901EDF" w:rsidRDefault="004C6DF8" w:rsidP="004C6DF8">
      <w:pPr>
        <w:pStyle w:val="Normlnweb"/>
        <w:rPr>
          <w:rFonts w:ascii="Arial" w:hAnsi="Arial" w:cs="Arial"/>
          <w:color w:val="000000"/>
          <w:sz w:val="22"/>
          <w:szCs w:val="22"/>
        </w:rPr>
      </w:pPr>
      <w:r w:rsidRPr="00901EDF">
        <w:rPr>
          <w:rStyle w:val="Siln"/>
          <w:rFonts w:ascii="Arial" w:eastAsiaTheme="majorEastAsia" w:hAnsi="Arial" w:cs="Arial"/>
          <w:color w:val="000000"/>
          <w:sz w:val="22"/>
          <w:szCs w:val="22"/>
        </w:rPr>
        <w:t>Sleva na manžela nebo manželku</w:t>
      </w:r>
      <w:r w:rsidRPr="00901EDF">
        <w:rPr>
          <w:rFonts w:ascii="Arial" w:hAnsi="Arial" w:cs="Arial"/>
          <w:color w:val="000000"/>
          <w:sz w:val="22"/>
          <w:szCs w:val="22"/>
        </w:rPr>
        <w:br/>
      </w:r>
      <w:r w:rsidR="00901EDF">
        <w:rPr>
          <w:rFonts w:ascii="Arial" w:hAnsi="Arial" w:cs="Arial"/>
          <w:color w:val="000000"/>
          <w:sz w:val="22"/>
          <w:szCs w:val="22"/>
        </w:rPr>
        <w:t>„</w:t>
      </w:r>
      <w:r w:rsidRPr="00901EDF">
        <w:rPr>
          <w:rFonts w:ascii="Arial" w:hAnsi="Arial" w:cs="Arial"/>
          <w:color w:val="000000"/>
          <w:sz w:val="22"/>
          <w:szCs w:val="22"/>
        </w:rPr>
        <w:t>Sleva na manžela či manželku patří k nejčastěji uplatňovaným, ale zároveň nejčastěji chybně dokládaným úlevám. Nárok na ni vzniká tehdy, pokud váš manžel nebo manželka neměli za rok 2025 příjmy vyšší než 68 000 korun a zároveň žijete ve společně hospodařící domácnosti s vyživovaným dítětem do tří let věku. K uplatnění je nutné dodat čestné prohlášení manžela o výši příjmů a vlastní čestné prohlášení o společné domácnosti. Bez těchto dokumentů zaměstnavatel slevu uplatnit nemůže</w:t>
      </w:r>
      <w:r w:rsidR="00901EDF">
        <w:rPr>
          <w:rFonts w:ascii="Arial" w:hAnsi="Arial" w:cs="Arial"/>
          <w:color w:val="000000"/>
          <w:sz w:val="22"/>
          <w:szCs w:val="22"/>
        </w:rPr>
        <w:t>,“ upřesňuje</w:t>
      </w:r>
      <w:r w:rsidR="00901EDF" w:rsidRPr="00901EDF">
        <w:rPr>
          <w:rFonts w:ascii="Arial" w:hAnsi="Arial" w:cs="Arial"/>
          <w:color w:val="000000"/>
          <w:sz w:val="22"/>
          <w:szCs w:val="22"/>
        </w:rPr>
        <w:t xml:space="preserve"> Anna </w:t>
      </w:r>
      <w:proofErr w:type="spellStart"/>
      <w:r w:rsidR="00901EDF" w:rsidRPr="00901EDF">
        <w:rPr>
          <w:rFonts w:ascii="Arial" w:hAnsi="Arial" w:cs="Arial"/>
          <w:color w:val="000000"/>
          <w:sz w:val="22"/>
          <w:szCs w:val="22"/>
        </w:rPr>
        <w:t>Kevorkyan</w:t>
      </w:r>
      <w:proofErr w:type="spellEnd"/>
      <w:r w:rsidR="00901EDF" w:rsidRPr="00901EDF">
        <w:rPr>
          <w:rFonts w:ascii="Arial" w:hAnsi="Arial" w:cs="Arial"/>
          <w:color w:val="000000"/>
          <w:sz w:val="22"/>
          <w:szCs w:val="22"/>
        </w:rPr>
        <w:t>, CEO pracovního portálu JenPráce.cz.</w:t>
      </w:r>
    </w:p>
    <w:p w14:paraId="79B6F7DB" w14:textId="7A3BFCE3" w:rsidR="00901EDF" w:rsidRPr="00901EDF" w:rsidRDefault="004C6DF8" w:rsidP="00901EDF">
      <w:pPr>
        <w:pStyle w:val="Normlnweb"/>
        <w:rPr>
          <w:rFonts w:ascii="Arial" w:hAnsi="Arial" w:cs="Arial"/>
          <w:color w:val="000000"/>
          <w:sz w:val="22"/>
          <w:szCs w:val="22"/>
        </w:rPr>
      </w:pPr>
      <w:r w:rsidRPr="00901EDF">
        <w:rPr>
          <w:rStyle w:val="Siln"/>
          <w:rFonts w:ascii="Arial" w:eastAsiaTheme="majorEastAsia" w:hAnsi="Arial" w:cs="Arial"/>
          <w:color w:val="000000"/>
          <w:sz w:val="22"/>
          <w:szCs w:val="22"/>
        </w:rPr>
        <w:t>Proč se vyplatí vše řešit včas</w:t>
      </w:r>
      <w:r w:rsidR="00901EDF">
        <w:rPr>
          <w:rFonts w:ascii="Arial" w:hAnsi="Arial" w:cs="Arial"/>
          <w:color w:val="000000"/>
          <w:sz w:val="22"/>
          <w:szCs w:val="22"/>
        </w:rPr>
        <w:br/>
        <w:t>„</w:t>
      </w:r>
      <w:r w:rsidRPr="00901EDF">
        <w:rPr>
          <w:rFonts w:ascii="Arial" w:hAnsi="Arial" w:cs="Arial"/>
          <w:color w:val="000000"/>
          <w:sz w:val="22"/>
          <w:szCs w:val="22"/>
        </w:rPr>
        <w:t>Roční zúčtování daně je pro zaměstnance nejjednodušší cestou, jak využít daňové úlevy bez nutnosti podávat vlastní daňové přiznání. Zároveň ale platí, že zaměstnavatel ani mzdová účetní nemohou nic domýšlet nebo dohledávat za vás. Pokud dokumenty nedodáte, nárok na úlevy jednoduše zaniká. Vyplatí se proto projít si své smlouvy, potvrzení a doklady včas, ideálně ještě před uzávěrkou pro roční zúčtování. Odměnou vám může být příjemný přeplatek na dani, který se na začátku roku vždy hodí</w:t>
      </w:r>
      <w:r w:rsidR="00901EDF">
        <w:rPr>
          <w:rFonts w:ascii="Arial" w:hAnsi="Arial" w:cs="Arial"/>
          <w:color w:val="000000"/>
          <w:sz w:val="22"/>
          <w:szCs w:val="22"/>
        </w:rPr>
        <w:t xml:space="preserve">,“ dodává </w:t>
      </w:r>
      <w:r w:rsidR="00901EDF" w:rsidRPr="00901EDF">
        <w:rPr>
          <w:rFonts w:ascii="Arial" w:hAnsi="Arial" w:cs="Arial"/>
          <w:color w:val="000000"/>
          <w:sz w:val="22"/>
          <w:szCs w:val="22"/>
        </w:rPr>
        <w:t xml:space="preserve">Jana </w:t>
      </w:r>
      <w:proofErr w:type="spellStart"/>
      <w:r w:rsidR="00901EDF" w:rsidRPr="00901EDF">
        <w:rPr>
          <w:rFonts w:ascii="Arial" w:hAnsi="Arial" w:cs="Arial"/>
          <w:color w:val="000000"/>
          <w:sz w:val="22"/>
          <w:szCs w:val="22"/>
        </w:rPr>
        <w:t>Jáčová</w:t>
      </w:r>
      <w:proofErr w:type="spellEnd"/>
      <w:r w:rsidR="00901EDF" w:rsidRPr="00901EDF">
        <w:rPr>
          <w:rFonts w:ascii="Arial" w:hAnsi="Arial" w:cs="Arial"/>
          <w:color w:val="000000"/>
          <w:sz w:val="22"/>
          <w:szCs w:val="22"/>
        </w:rPr>
        <w:t>, ředitelka UOL Účetnictví.</w:t>
      </w:r>
    </w:p>
    <w:p w14:paraId="60041FD2" w14:textId="7B4F96A6" w:rsidR="004C6DF8" w:rsidRPr="00901EDF" w:rsidRDefault="004C6DF8" w:rsidP="004C6DF8">
      <w:pPr>
        <w:pStyle w:val="Normlnweb"/>
        <w:rPr>
          <w:rFonts w:ascii="Arial" w:hAnsi="Arial" w:cs="Arial"/>
          <w:color w:val="000000"/>
          <w:sz w:val="22"/>
          <w:szCs w:val="22"/>
        </w:rPr>
      </w:pPr>
    </w:p>
    <w:p w14:paraId="0100ACD9" w14:textId="77777777" w:rsidR="004C6DF8" w:rsidRPr="00901EDF" w:rsidRDefault="004C6DF8" w:rsidP="004C6DF8">
      <w:pPr>
        <w:rPr>
          <w:rFonts w:ascii="Arial" w:hAnsi="Arial" w:cs="Arial"/>
          <w:color w:val="000000"/>
        </w:rPr>
      </w:pPr>
    </w:p>
    <w:p w14:paraId="092D17B8" w14:textId="60ACEAA5" w:rsidR="007707B9" w:rsidRPr="00901EDF" w:rsidRDefault="007707B9" w:rsidP="00233847">
      <w:pPr>
        <w:rPr>
          <w:rFonts w:ascii="Arial" w:hAnsi="Arial" w:cs="Arial"/>
          <w:color w:val="000000"/>
        </w:rPr>
      </w:pPr>
    </w:p>
    <w:sectPr w:rsidR="007707B9" w:rsidRPr="00901EDF" w:rsidSect="00124896">
      <w:pgSz w:w="11906" w:h="16838"/>
      <w:pgMar w:top="1417" w:right="1417" w:bottom="1417" w:left="1417" w:header="708" w:footer="708" w:gutter="0"/>
      <w:pgNumType w:start="1"/>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Calibri">
    <w:panose1 w:val="020F0502020204030204"/>
    <w:charset w:val="EE"/>
    <w:family w:val="swiss"/>
    <w:pitch w:val="variable"/>
    <w:sig w:usb0="E4002EFF" w:usb1="C200247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5D5DD6"/>
    <w:multiLevelType w:val="multilevel"/>
    <w:tmpl w:val="43E4D8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5B66167"/>
    <w:multiLevelType w:val="hybridMultilevel"/>
    <w:tmpl w:val="CD8CEEAE"/>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 w15:restartNumberingAfterBreak="0">
    <w:nsid w:val="60501BA3"/>
    <w:multiLevelType w:val="hybridMultilevel"/>
    <w:tmpl w:val="E3024514"/>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num w:numId="1" w16cid:durableId="1734306498">
    <w:abstractNumId w:val="2"/>
  </w:num>
  <w:num w:numId="2" w16cid:durableId="337275503">
    <w:abstractNumId w:val="0"/>
  </w:num>
  <w:num w:numId="3" w16cid:durableId="172513178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2"/>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4896"/>
    <w:rsid w:val="000D7E62"/>
    <w:rsid w:val="000E58E1"/>
    <w:rsid w:val="00101C30"/>
    <w:rsid w:val="00123D13"/>
    <w:rsid w:val="00123FB3"/>
    <w:rsid w:val="00124896"/>
    <w:rsid w:val="00193F80"/>
    <w:rsid w:val="001951A6"/>
    <w:rsid w:val="001A468E"/>
    <w:rsid w:val="001D09C0"/>
    <w:rsid w:val="001D5CFF"/>
    <w:rsid w:val="001E13D1"/>
    <w:rsid w:val="00233847"/>
    <w:rsid w:val="002734B7"/>
    <w:rsid w:val="002736F1"/>
    <w:rsid w:val="00293BF4"/>
    <w:rsid w:val="002C2BE2"/>
    <w:rsid w:val="002E4EEA"/>
    <w:rsid w:val="002F20FA"/>
    <w:rsid w:val="003141E8"/>
    <w:rsid w:val="003269C0"/>
    <w:rsid w:val="00336D2D"/>
    <w:rsid w:val="00346B3E"/>
    <w:rsid w:val="00406ECF"/>
    <w:rsid w:val="0042174E"/>
    <w:rsid w:val="00447C8B"/>
    <w:rsid w:val="0048407E"/>
    <w:rsid w:val="004A1435"/>
    <w:rsid w:val="004A6749"/>
    <w:rsid w:val="004B481A"/>
    <w:rsid w:val="004C6DF8"/>
    <w:rsid w:val="004E7AE1"/>
    <w:rsid w:val="004F52C3"/>
    <w:rsid w:val="004F76D9"/>
    <w:rsid w:val="00500392"/>
    <w:rsid w:val="00530380"/>
    <w:rsid w:val="0055521B"/>
    <w:rsid w:val="005565A9"/>
    <w:rsid w:val="00563CE8"/>
    <w:rsid w:val="005B6215"/>
    <w:rsid w:val="005C7FF0"/>
    <w:rsid w:val="005E3D43"/>
    <w:rsid w:val="00672E1A"/>
    <w:rsid w:val="006A7375"/>
    <w:rsid w:val="006B5CEF"/>
    <w:rsid w:val="006D6EAE"/>
    <w:rsid w:val="007139EB"/>
    <w:rsid w:val="00713E29"/>
    <w:rsid w:val="007561DA"/>
    <w:rsid w:val="0076279E"/>
    <w:rsid w:val="007707B9"/>
    <w:rsid w:val="007E2ED9"/>
    <w:rsid w:val="00840B97"/>
    <w:rsid w:val="008772D2"/>
    <w:rsid w:val="008B2B5E"/>
    <w:rsid w:val="008C19EC"/>
    <w:rsid w:val="008D4697"/>
    <w:rsid w:val="008F53BE"/>
    <w:rsid w:val="00901EDF"/>
    <w:rsid w:val="00920673"/>
    <w:rsid w:val="00921204"/>
    <w:rsid w:val="00970A54"/>
    <w:rsid w:val="009B1BD9"/>
    <w:rsid w:val="009C428C"/>
    <w:rsid w:val="009E5D76"/>
    <w:rsid w:val="00A276D1"/>
    <w:rsid w:val="00A35A7A"/>
    <w:rsid w:val="00A5741F"/>
    <w:rsid w:val="00A8315D"/>
    <w:rsid w:val="00AE5411"/>
    <w:rsid w:val="00B30BA6"/>
    <w:rsid w:val="00B37E39"/>
    <w:rsid w:val="00B838FC"/>
    <w:rsid w:val="00BA29C3"/>
    <w:rsid w:val="00BE52F5"/>
    <w:rsid w:val="00BE7FB0"/>
    <w:rsid w:val="00BF4FF1"/>
    <w:rsid w:val="00C249E4"/>
    <w:rsid w:val="00C5129D"/>
    <w:rsid w:val="00CD59F0"/>
    <w:rsid w:val="00CD7BDD"/>
    <w:rsid w:val="00D84A81"/>
    <w:rsid w:val="00D95FCC"/>
    <w:rsid w:val="00DA4CF8"/>
    <w:rsid w:val="00DC63A1"/>
    <w:rsid w:val="00E408CA"/>
    <w:rsid w:val="00E64591"/>
    <w:rsid w:val="00E64F44"/>
    <w:rsid w:val="00EA241D"/>
    <w:rsid w:val="00EB47C1"/>
    <w:rsid w:val="00ED7127"/>
    <w:rsid w:val="00F40C37"/>
    <w:rsid w:val="00F51A5B"/>
    <w:rsid w:val="00F716A4"/>
    <w:rsid w:val="00FA6DDE"/>
    <w:rsid w:val="00FB282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7ECEED"/>
  <w15:chartTrackingRefBased/>
  <w15:docId w15:val="{F8089FD6-4171-7843-A033-6CE44C8388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cs-CZ"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124896"/>
    <w:pPr>
      <w:spacing w:after="160" w:line="259" w:lineRule="auto"/>
    </w:pPr>
    <w:rPr>
      <w:rFonts w:ascii="Calibri" w:eastAsia="Calibri" w:hAnsi="Calibri" w:cs="Calibri"/>
      <w:sz w:val="22"/>
      <w:szCs w:val="22"/>
      <w:lang w:val="cs" w:eastAsia="cs-CZ"/>
    </w:rPr>
  </w:style>
  <w:style w:type="paragraph" w:styleId="Nadpis1">
    <w:name w:val="heading 1"/>
    <w:basedOn w:val="Normln"/>
    <w:next w:val="Normln"/>
    <w:link w:val="Nadpis1Char"/>
    <w:uiPriority w:val="9"/>
    <w:qFormat/>
    <w:rsid w:val="0012489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dpis2">
    <w:name w:val="heading 2"/>
    <w:basedOn w:val="Normln"/>
    <w:next w:val="Normln"/>
    <w:link w:val="Nadpis2Char"/>
    <w:uiPriority w:val="9"/>
    <w:semiHidden/>
    <w:unhideWhenUsed/>
    <w:qFormat/>
    <w:rsid w:val="0012489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dpis3">
    <w:name w:val="heading 3"/>
    <w:basedOn w:val="Normln"/>
    <w:next w:val="Normln"/>
    <w:link w:val="Nadpis3Char"/>
    <w:uiPriority w:val="9"/>
    <w:unhideWhenUsed/>
    <w:qFormat/>
    <w:rsid w:val="00124896"/>
    <w:pPr>
      <w:keepNext/>
      <w:keepLines/>
      <w:spacing w:before="160" w:after="80"/>
      <w:outlineLvl w:val="2"/>
    </w:pPr>
    <w:rPr>
      <w:rFonts w:eastAsiaTheme="majorEastAsia" w:cstheme="majorBidi"/>
      <w:color w:val="0F4761" w:themeColor="accent1" w:themeShade="BF"/>
      <w:sz w:val="28"/>
      <w:szCs w:val="28"/>
    </w:rPr>
  </w:style>
  <w:style w:type="paragraph" w:styleId="Nadpis4">
    <w:name w:val="heading 4"/>
    <w:basedOn w:val="Normln"/>
    <w:next w:val="Normln"/>
    <w:link w:val="Nadpis4Char"/>
    <w:uiPriority w:val="9"/>
    <w:unhideWhenUsed/>
    <w:qFormat/>
    <w:rsid w:val="00124896"/>
    <w:pPr>
      <w:keepNext/>
      <w:keepLines/>
      <w:spacing w:before="80" w:after="40"/>
      <w:outlineLvl w:val="3"/>
    </w:pPr>
    <w:rPr>
      <w:rFonts w:eastAsiaTheme="majorEastAsia" w:cstheme="majorBidi"/>
      <w:i/>
      <w:iCs/>
      <w:color w:val="0F4761" w:themeColor="accent1" w:themeShade="BF"/>
    </w:rPr>
  </w:style>
  <w:style w:type="paragraph" w:styleId="Nadpis5">
    <w:name w:val="heading 5"/>
    <w:basedOn w:val="Normln"/>
    <w:next w:val="Normln"/>
    <w:link w:val="Nadpis5Char"/>
    <w:uiPriority w:val="9"/>
    <w:semiHidden/>
    <w:unhideWhenUsed/>
    <w:qFormat/>
    <w:rsid w:val="00124896"/>
    <w:pPr>
      <w:keepNext/>
      <w:keepLines/>
      <w:spacing w:before="80" w:after="40"/>
      <w:outlineLvl w:val="4"/>
    </w:pPr>
    <w:rPr>
      <w:rFonts w:eastAsiaTheme="majorEastAsia" w:cstheme="majorBidi"/>
      <w:color w:val="0F4761" w:themeColor="accent1" w:themeShade="BF"/>
    </w:rPr>
  </w:style>
  <w:style w:type="paragraph" w:styleId="Nadpis6">
    <w:name w:val="heading 6"/>
    <w:basedOn w:val="Normln"/>
    <w:next w:val="Normln"/>
    <w:link w:val="Nadpis6Char"/>
    <w:uiPriority w:val="9"/>
    <w:semiHidden/>
    <w:unhideWhenUsed/>
    <w:qFormat/>
    <w:rsid w:val="00124896"/>
    <w:pPr>
      <w:keepNext/>
      <w:keepLines/>
      <w:spacing w:before="40"/>
      <w:outlineLvl w:val="5"/>
    </w:pPr>
    <w:rPr>
      <w:rFonts w:eastAsiaTheme="majorEastAsia" w:cstheme="majorBidi"/>
      <w:i/>
      <w:iCs/>
      <w:color w:val="595959" w:themeColor="text1" w:themeTint="A6"/>
    </w:rPr>
  </w:style>
  <w:style w:type="paragraph" w:styleId="Nadpis7">
    <w:name w:val="heading 7"/>
    <w:basedOn w:val="Normln"/>
    <w:next w:val="Normln"/>
    <w:link w:val="Nadpis7Char"/>
    <w:uiPriority w:val="9"/>
    <w:semiHidden/>
    <w:unhideWhenUsed/>
    <w:qFormat/>
    <w:rsid w:val="00124896"/>
    <w:pPr>
      <w:keepNext/>
      <w:keepLines/>
      <w:spacing w:before="40"/>
      <w:outlineLvl w:val="6"/>
    </w:pPr>
    <w:rPr>
      <w:rFonts w:eastAsiaTheme="majorEastAsia" w:cstheme="majorBidi"/>
      <w:color w:val="595959" w:themeColor="text1" w:themeTint="A6"/>
    </w:rPr>
  </w:style>
  <w:style w:type="paragraph" w:styleId="Nadpis8">
    <w:name w:val="heading 8"/>
    <w:basedOn w:val="Normln"/>
    <w:next w:val="Normln"/>
    <w:link w:val="Nadpis8Char"/>
    <w:uiPriority w:val="9"/>
    <w:semiHidden/>
    <w:unhideWhenUsed/>
    <w:qFormat/>
    <w:rsid w:val="00124896"/>
    <w:pPr>
      <w:keepNext/>
      <w:keepLines/>
      <w:outlineLvl w:val="7"/>
    </w:pPr>
    <w:rPr>
      <w:rFonts w:eastAsiaTheme="majorEastAsia" w:cstheme="majorBidi"/>
      <w:i/>
      <w:iCs/>
      <w:color w:val="272727" w:themeColor="text1" w:themeTint="D8"/>
    </w:rPr>
  </w:style>
  <w:style w:type="paragraph" w:styleId="Nadpis9">
    <w:name w:val="heading 9"/>
    <w:basedOn w:val="Normln"/>
    <w:next w:val="Normln"/>
    <w:link w:val="Nadpis9Char"/>
    <w:uiPriority w:val="9"/>
    <w:semiHidden/>
    <w:unhideWhenUsed/>
    <w:qFormat/>
    <w:rsid w:val="00124896"/>
    <w:pPr>
      <w:keepNext/>
      <w:keepLines/>
      <w:outlineLvl w:val="8"/>
    </w:pPr>
    <w:rPr>
      <w:rFonts w:eastAsiaTheme="majorEastAsia" w:cstheme="majorBidi"/>
      <w:color w:val="272727" w:themeColor="text1" w:themeTint="D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124896"/>
    <w:rPr>
      <w:rFonts w:asciiTheme="majorHAnsi" w:eastAsiaTheme="majorEastAsia" w:hAnsiTheme="majorHAnsi" w:cstheme="majorBidi"/>
      <w:color w:val="0F4761" w:themeColor="accent1" w:themeShade="BF"/>
      <w:sz w:val="40"/>
      <w:szCs w:val="40"/>
    </w:rPr>
  </w:style>
  <w:style w:type="character" w:customStyle="1" w:styleId="Nadpis2Char">
    <w:name w:val="Nadpis 2 Char"/>
    <w:basedOn w:val="Standardnpsmoodstavce"/>
    <w:link w:val="Nadpis2"/>
    <w:uiPriority w:val="9"/>
    <w:semiHidden/>
    <w:rsid w:val="00124896"/>
    <w:rPr>
      <w:rFonts w:asciiTheme="majorHAnsi" w:eastAsiaTheme="majorEastAsia" w:hAnsiTheme="majorHAnsi" w:cstheme="majorBidi"/>
      <w:color w:val="0F4761" w:themeColor="accent1" w:themeShade="BF"/>
      <w:sz w:val="32"/>
      <w:szCs w:val="32"/>
    </w:rPr>
  </w:style>
  <w:style w:type="character" w:customStyle="1" w:styleId="Nadpis3Char">
    <w:name w:val="Nadpis 3 Char"/>
    <w:basedOn w:val="Standardnpsmoodstavce"/>
    <w:link w:val="Nadpis3"/>
    <w:uiPriority w:val="9"/>
    <w:rsid w:val="00124896"/>
    <w:rPr>
      <w:rFonts w:eastAsiaTheme="majorEastAsia" w:cstheme="majorBidi"/>
      <w:color w:val="0F4761" w:themeColor="accent1" w:themeShade="BF"/>
      <w:sz w:val="28"/>
      <w:szCs w:val="28"/>
    </w:rPr>
  </w:style>
  <w:style w:type="character" w:customStyle="1" w:styleId="Nadpis4Char">
    <w:name w:val="Nadpis 4 Char"/>
    <w:basedOn w:val="Standardnpsmoodstavce"/>
    <w:link w:val="Nadpis4"/>
    <w:uiPriority w:val="9"/>
    <w:rsid w:val="00124896"/>
    <w:rPr>
      <w:rFonts w:eastAsiaTheme="majorEastAsia" w:cstheme="majorBidi"/>
      <w:i/>
      <w:iCs/>
      <w:color w:val="0F4761" w:themeColor="accent1" w:themeShade="BF"/>
    </w:rPr>
  </w:style>
  <w:style w:type="character" w:customStyle="1" w:styleId="Nadpis5Char">
    <w:name w:val="Nadpis 5 Char"/>
    <w:basedOn w:val="Standardnpsmoodstavce"/>
    <w:link w:val="Nadpis5"/>
    <w:uiPriority w:val="9"/>
    <w:semiHidden/>
    <w:rsid w:val="00124896"/>
    <w:rPr>
      <w:rFonts w:eastAsiaTheme="majorEastAsia" w:cstheme="majorBidi"/>
      <w:color w:val="0F4761" w:themeColor="accent1" w:themeShade="BF"/>
    </w:rPr>
  </w:style>
  <w:style w:type="character" w:customStyle="1" w:styleId="Nadpis6Char">
    <w:name w:val="Nadpis 6 Char"/>
    <w:basedOn w:val="Standardnpsmoodstavce"/>
    <w:link w:val="Nadpis6"/>
    <w:uiPriority w:val="9"/>
    <w:semiHidden/>
    <w:rsid w:val="00124896"/>
    <w:rPr>
      <w:rFonts w:eastAsiaTheme="majorEastAsia" w:cstheme="majorBidi"/>
      <w:i/>
      <w:iCs/>
      <w:color w:val="595959" w:themeColor="text1" w:themeTint="A6"/>
    </w:rPr>
  </w:style>
  <w:style w:type="character" w:customStyle="1" w:styleId="Nadpis7Char">
    <w:name w:val="Nadpis 7 Char"/>
    <w:basedOn w:val="Standardnpsmoodstavce"/>
    <w:link w:val="Nadpis7"/>
    <w:uiPriority w:val="9"/>
    <w:semiHidden/>
    <w:rsid w:val="00124896"/>
    <w:rPr>
      <w:rFonts w:eastAsiaTheme="majorEastAsia" w:cstheme="majorBidi"/>
      <w:color w:val="595959" w:themeColor="text1" w:themeTint="A6"/>
    </w:rPr>
  </w:style>
  <w:style w:type="character" w:customStyle="1" w:styleId="Nadpis8Char">
    <w:name w:val="Nadpis 8 Char"/>
    <w:basedOn w:val="Standardnpsmoodstavce"/>
    <w:link w:val="Nadpis8"/>
    <w:uiPriority w:val="9"/>
    <w:semiHidden/>
    <w:rsid w:val="00124896"/>
    <w:rPr>
      <w:rFonts w:eastAsiaTheme="majorEastAsia" w:cstheme="majorBidi"/>
      <w:i/>
      <w:iCs/>
      <w:color w:val="272727" w:themeColor="text1" w:themeTint="D8"/>
    </w:rPr>
  </w:style>
  <w:style w:type="character" w:customStyle="1" w:styleId="Nadpis9Char">
    <w:name w:val="Nadpis 9 Char"/>
    <w:basedOn w:val="Standardnpsmoodstavce"/>
    <w:link w:val="Nadpis9"/>
    <w:uiPriority w:val="9"/>
    <w:semiHidden/>
    <w:rsid w:val="00124896"/>
    <w:rPr>
      <w:rFonts w:eastAsiaTheme="majorEastAsia" w:cstheme="majorBidi"/>
      <w:color w:val="272727" w:themeColor="text1" w:themeTint="D8"/>
    </w:rPr>
  </w:style>
  <w:style w:type="paragraph" w:styleId="Nzev">
    <w:name w:val="Title"/>
    <w:basedOn w:val="Normln"/>
    <w:next w:val="Normln"/>
    <w:link w:val="NzevChar"/>
    <w:uiPriority w:val="10"/>
    <w:qFormat/>
    <w:rsid w:val="00124896"/>
    <w:pPr>
      <w:spacing w:after="80"/>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124896"/>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124896"/>
    <w:pPr>
      <w:numPr>
        <w:ilvl w:val="1"/>
      </w:numPr>
    </w:pPr>
    <w:rPr>
      <w:rFonts w:eastAsiaTheme="majorEastAsia" w:cstheme="majorBidi"/>
      <w:color w:val="595959" w:themeColor="text1" w:themeTint="A6"/>
      <w:spacing w:val="15"/>
      <w:sz w:val="28"/>
      <w:szCs w:val="28"/>
    </w:rPr>
  </w:style>
  <w:style w:type="character" w:customStyle="1" w:styleId="PodnadpisChar">
    <w:name w:val="Podnadpis Char"/>
    <w:basedOn w:val="Standardnpsmoodstavce"/>
    <w:link w:val="Podnadpis"/>
    <w:uiPriority w:val="11"/>
    <w:rsid w:val="00124896"/>
    <w:rPr>
      <w:rFonts w:eastAsiaTheme="majorEastAsia" w:cstheme="majorBidi"/>
      <w:color w:val="595959" w:themeColor="text1" w:themeTint="A6"/>
      <w:spacing w:val="15"/>
      <w:sz w:val="28"/>
      <w:szCs w:val="28"/>
    </w:rPr>
  </w:style>
  <w:style w:type="paragraph" w:styleId="Citt">
    <w:name w:val="Quote"/>
    <w:basedOn w:val="Normln"/>
    <w:next w:val="Normln"/>
    <w:link w:val="CittChar"/>
    <w:uiPriority w:val="29"/>
    <w:qFormat/>
    <w:rsid w:val="00124896"/>
    <w:pPr>
      <w:spacing w:before="160"/>
      <w:jc w:val="center"/>
    </w:pPr>
    <w:rPr>
      <w:i/>
      <w:iCs/>
      <w:color w:val="404040" w:themeColor="text1" w:themeTint="BF"/>
    </w:rPr>
  </w:style>
  <w:style w:type="character" w:customStyle="1" w:styleId="CittChar">
    <w:name w:val="Citát Char"/>
    <w:basedOn w:val="Standardnpsmoodstavce"/>
    <w:link w:val="Citt"/>
    <w:uiPriority w:val="29"/>
    <w:rsid w:val="00124896"/>
    <w:rPr>
      <w:i/>
      <w:iCs/>
      <w:color w:val="404040" w:themeColor="text1" w:themeTint="BF"/>
    </w:rPr>
  </w:style>
  <w:style w:type="paragraph" w:styleId="Odstavecseseznamem">
    <w:name w:val="List Paragraph"/>
    <w:basedOn w:val="Normln"/>
    <w:uiPriority w:val="34"/>
    <w:qFormat/>
    <w:rsid w:val="00124896"/>
    <w:pPr>
      <w:ind w:left="720"/>
      <w:contextualSpacing/>
    </w:pPr>
  </w:style>
  <w:style w:type="character" w:styleId="Zdraznnintenzivn">
    <w:name w:val="Intense Emphasis"/>
    <w:basedOn w:val="Standardnpsmoodstavce"/>
    <w:uiPriority w:val="21"/>
    <w:qFormat/>
    <w:rsid w:val="00124896"/>
    <w:rPr>
      <w:i/>
      <w:iCs/>
      <w:color w:val="0F4761" w:themeColor="accent1" w:themeShade="BF"/>
    </w:rPr>
  </w:style>
  <w:style w:type="paragraph" w:styleId="Vrazncitt">
    <w:name w:val="Intense Quote"/>
    <w:basedOn w:val="Normln"/>
    <w:next w:val="Normln"/>
    <w:link w:val="VrazncittChar"/>
    <w:uiPriority w:val="30"/>
    <w:qFormat/>
    <w:rsid w:val="0012489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VrazncittChar">
    <w:name w:val="Výrazný citát Char"/>
    <w:basedOn w:val="Standardnpsmoodstavce"/>
    <w:link w:val="Vrazncitt"/>
    <w:uiPriority w:val="30"/>
    <w:rsid w:val="00124896"/>
    <w:rPr>
      <w:i/>
      <w:iCs/>
      <w:color w:val="0F4761" w:themeColor="accent1" w:themeShade="BF"/>
    </w:rPr>
  </w:style>
  <w:style w:type="character" w:styleId="Odkazintenzivn">
    <w:name w:val="Intense Reference"/>
    <w:basedOn w:val="Standardnpsmoodstavce"/>
    <w:uiPriority w:val="32"/>
    <w:qFormat/>
    <w:rsid w:val="00124896"/>
    <w:rPr>
      <w:b/>
      <w:bCs/>
      <w:smallCaps/>
      <w:color w:val="0F4761" w:themeColor="accent1" w:themeShade="BF"/>
      <w:spacing w:val="5"/>
    </w:rPr>
  </w:style>
  <w:style w:type="paragraph" w:styleId="Normlnweb">
    <w:name w:val="Normal (Web)"/>
    <w:basedOn w:val="Normln"/>
    <w:uiPriority w:val="99"/>
    <w:unhideWhenUsed/>
    <w:rsid w:val="00B30BA6"/>
    <w:pPr>
      <w:spacing w:before="100" w:beforeAutospacing="1" w:after="100" w:afterAutospacing="1" w:line="240" w:lineRule="auto"/>
    </w:pPr>
    <w:rPr>
      <w:rFonts w:ascii="Times New Roman" w:eastAsia="Times New Roman" w:hAnsi="Times New Roman" w:cs="Times New Roman"/>
      <w:sz w:val="24"/>
      <w:szCs w:val="24"/>
      <w:lang w:val="cs-CZ"/>
    </w:rPr>
  </w:style>
  <w:style w:type="character" w:styleId="Odkaznakoment">
    <w:name w:val="annotation reference"/>
    <w:basedOn w:val="Standardnpsmoodstavce"/>
    <w:uiPriority w:val="99"/>
    <w:semiHidden/>
    <w:unhideWhenUsed/>
    <w:rsid w:val="00BE52F5"/>
    <w:rPr>
      <w:sz w:val="16"/>
      <w:szCs w:val="16"/>
    </w:rPr>
  </w:style>
  <w:style w:type="paragraph" w:styleId="Textkomente">
    <w:name w:val="annotation text"/>
    <w:basedOn w:val="Normln"/>
    <w:link w:val="TextkomenteChar"/>
    <w:uiPriority w:val="99"/>
    <w:semiHidden/>
    <w:unhideWhenUsed/>
    <w:rsid w:val="00BE52F5"/>
    <w:pPr>
      <w:spacing w:line="240" w:lineRule="auto"/>
    </w:pPr>
    <w:rPr>
      <w:sz w:val="20"/>
      <w:szCs w:val="20"/>
    </w:rPr>
  </w:style>
  <w:style w:type="character" w:customStyle="1" w:styleId="TextkomenteChar">
    <w:name w:val="Text komentáře Char"/>
    <w:basedOn w:val="Standardnpsmoodstavce"/>
    <w:link w:val="Textkomente"/>
    <w:uiPriority w:val="99"/>
    <w:semiHidden/>
    <w:rsid w:val="00BE52F5"/>
    <w:rPr>
      <w:rFonts w:ascii="Calibri" w:eastAsia="Calibri" w:hAnsi="Calibri" w:cs="Calibri"/>
      <w:sz w:val="20"/>
      <w:szCs w:val="20"/>
      <w:lang w:val="cs" w:eastAsia="cs-CZ"/>
    </w:rPr>
  </w:style>
  <w:style w:type="paragraph" w:styleId="Pedmtkomente">
    <w:name w:val="annotation subject"/>
    <w:basedOn w:val="Textkomente"/>
    <w:next w:val="Textkomente"/>
    <w:link w:val="PedmtkomenteChar"/>
    <w:uiPriority w:val="99"/>
    <w:semiHidden/>
    <w:unhideWhenUsed/>
    <w:rsid w:val="00BE52F5"/>
    <w:rPr>
      <w:b/>
      <w:bCs/>
    </w:rPr>
  </w:style>
  <w:style w:type="character" w:customStyle="1" w:styleId="PedmtkomenteChar">
    <w:name w:val="Předmět komentáře Char"/>
    <w:basedOn w:val="TextkomenteChar"/>
    <w:link w:val="Pedmtkomente"/>
    <w:uiPriority w:val="99"/>
    <w:semiHidden/>
    <w:rsid w:val="00BE52F5"/>
    <w:rPr>
      <w:rFonts w:ascii="Calibri" w:eastAsia="Calibri" w:hAnsi="Calibri" w:cs="Calibri"/>
      <w:b/>
      <w:bCs/>
      <w:sz w:val="20"/>
      <w:szCs w:val="20"/>
      <w:lang w:val="cs" w:eastAsia="cs-CZ"/>
    </w:rPr>
  </w:style>
  <w:style w:type="character" w:styleId="Hypertextovodkaz">
    <w:name w:val="Hyperlink"/>
    <w:basedOn w:val="Standardnpsmoodstavce"/>
    <w:uiPriority w:val="99"/>
    <w:unhideWhenUsed/>
    <w:rsid w:val="00BA29C3"/>
    <w:rPr>
      <w:color w:val="0000FF"/>
      <w:u w:val="single"/>
    </w:rPr>
  </w:style>
  <w:style w:type="paragraph" w:styleId="Revize">
    <w:name w:val="Revision"/>
    <w:hidden/>
    <w:uiPriority w:val="99"/>
    <w:semiHidden/>
    <w:rsid w:val="009E5D76"/>
    <w:rPr>
      <w:rFonts w:ascii="Calibri" w:eastAsia="Calibri" w:hAnsi="Calibri" w:cs="Calibri"/>
      <w:sz w:val="22"/>
      <w:szCs w:val="22"/>
      <w:lang w:val="cs" w:eastAsia="cs-CZ"/>
    </w:rPr>
  </w:style>
  <w:style w:type="character" w:styleId="Siln">
    <w:name w:val="Strong"/>
    <w:basedOn w:val="Standardnpsmoodstavce"/>
    <w:uiPriority w:val="22"/>
    <w:qFormat/>
    <w:rsid w:val="004C6DF8"/>
    <w:rPr>
      <w:b/>
      <w:bCs/>
    </w:rPr>
  </w:style>
  <w:style w:type="character" w:styleId="Nevyeenzmnka">
    <w:name w:val="Unresolved Mention"/>
    <w:basedOn w:val="Standardnpsmoodstavce"/>
    <w:uiPriority w:val="99"/>
    <w:semiHidden/>
    <w:unhideWhenUsed/>
    <w:rsid w:val="006B5CE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royalbridgepartners.cz/" TargetMode="External"/><Relationship Id="rId4" Type="http://schemas.openxmlformats.org/officeDocument/2006/relationships/webSettings" Target="webSettings.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744</Words>
  <Characters>4392</Characters>
  <Application>Microsoft Office Word</Application>
  <DocSecurity>0</DocSecurity>
  <Lines>36</Lines>
  <Paragraphs>10</Paragraphs>
  <ScaleCrop>false</ScaleCrop>
  <HeadingPairs>
    <vt:vector size="2" baseType="variant">
      <vt:variant>
        <vt:lpstr>Název</vt:lpstr>
      </vt:variant>
      <vt:variant>
        <vt:i4>1</vt:i4>
      </vt:variant>
    </vt:vector>
  </HeadingPairs>
  <TitlesOfParts>
    <vt:vector size="1" baseType="lpstr">
      <vt:lpstr/>
    </vt:vector>
  </TitlesOfParts>
  <Manager/>
  <Company/>
  <LinksUpToDate>false</LinksUpToDate>
  <CharactersWithSpaces>5126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Michal Hoblík</dc:creator>
  <cp:keywords/>
  <dc:description/>
  <cp:lastModifiedBy>Michal Hoblík</cp:lastModifiedBy>
  <cp:revision>3</cp:revision>
  <dcterms:created xsi:type="dcterms:W3CDTF">2026-01-30T13:15:00Z</dcterms:created>
  <dcterms:modified xsi:type="dcterms:W3CDTF">2026-01-30T13:22:00Z</dcterms:modified>
  <cp:category/>
</cp:coreProperties>
</file>