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2CF841" w14:textId="77777777" w:rsidR="00915E88" w:rsidRPr="00EA0939" w:rsidRDefault="00915E88" w:rsidP="00486550">
      <w:pPr>
        <w:spacing w:before="100" w:beforeAutospacing="1" w:after="100" w:afterAutospacing="1" w:line="240" w:lineRule="auto"/>
        <w:outlineLvl w:val="1"/>
        <w:rPr>
          <w:rFonts w:ascii="Arial" w:eastAsia="Times New Roman" w:hAnsi="Arial" w:cs="Arial"/>
          <w:b/>
          <w:bCs/>
          <w:color w:val="000000"/>
          <w:lang w:eastAsia="cs-CZ"/>
        </w:rPr>
      </w:pPr>
    </w:p>
    <w:p w14:paraId="62B97941" w14:textId="6A3E3E18" w:rsidR="00EA0939" w:rsidRPr="00EA0939" w:rsidRDefault="00EA0939" w:rsidP="00915E88">
      <w:pPr>
        <w:spacing w:before="100" w:beforeAutospacing="1" w:after="100" w:afterAutospacing="1" w:line="240" w:lineRule="auto"/>
        <w:jc w:val="center"/>
        <w:outlineLvl w:val="1"/>
        <w:rPr>
          <w:rFonts w:ascii="Arial" w:eastAsia="Times New Roman" w:hAnsi="Arial" w:cs="Arial"/>
          <w:b/>
          <w:bCs/>
          <w:color w:val="000000"/>
          <w:sz w:val="28"/>
          <w:szCs w:val="28"/>
          <w:lang w:eastAsia="cs-CZ"/>
        </w:rPr>
      </w:pPr>
      <w:r w:rsidRPr="00EA0939">
        <w:rPr>
          <w:rFonts w:ascii="Arial" w:eastAsia="Times New Roman" w:hAnsi="Arial" w:cs="Arial"/>
          <w:b/>
          <w:bCs/>
          <w:color w:val="000000"/>
          <w:sz w:val="28"/>
          <w:szCs w:val="28"/>
          <w:lang w:eastAsia="cs-CZ"/>
        </w:rPr>
        <w:t>P</w:t>
      </w:r>
      <w:r w:rsidRPr="00EA0939">
        <w:rPr>
          <w:rFonts w:ascii="Arial" w:eastAsia="Times New Roman" w:hAnsi="Arial" w:cs="Arial"/>
          <w:b/>
          <w:bCs/>
          <w:color w:val="000000"/>
          <w:sz w:val="28"/>
          <w:szCs w:val="28"/>
          <w:lang w:eastAsia="cs-CZ"/>
        </w:rPr>
        <w:t>racujete z chalupy nebo od moře? Co si letos může OSVČ legálně dát do nákladů a kde už hrozí problém s finančním úřadem</w:t>
      </w:r>
    </w:p>
    <w:p w14:paraId="5F064BFA" w14:textId="1F8802C2" w:rsidR="00EA0939" w:rsidRPr="00EA0939" w:rsidRDefault="00486550" w:rsidP="00EA0939">
      <w:pPr>
        <w:spacing w:before="100" w:beforeAutospacing="1" w:after="100" w:afterAutospacing="1" w:line="240" w:lineRule="auto"/>
        <w:rPr>
          <w:rFonts w:ascii="Arial" w:eastAsia="Times New Roman" w:hAnsi="Arial" w:cs="Arial"/>
          <w:b/>
          <w:bCs/>
          <w:color w:val="000000"/>
          <w:lang w:eastAsia="cs-CZ"/>
        </w:rPr>
      </w:pPr>
      <w:r w:rsidRPr="00EA0939">
        <w:rPr>
          <w:rFonts w:ascii="Arial" w:eastAsia="Times New Roman" w:hAnsi="Arial" w:cs="Arial"/>
          <w:b/>
          <w:bCs/>
          <w:color w:val="000000"/>
          <w:lang w:eastAsia="cs-CZ"/>
        </w:rPr>
        <w:t xml:space="preserve">Praha, </w:t>
      </w:r>
      <w:r w:rsidR="00915E88" w:rsidRPr="00EA0939">
        <w:rPr>
          <w:rFonts w:ascii="Arial" w:eastAsia="Times New Roman" w:hAnsi="Arial" w:cs="Arial"/>
          <w:b/>
          <w:bCs/>
          <w:color w:val="000000"/>
          <w:lang w:eastAsia="cs-CZ"/>
        </w:rPr>
        <w:t>30</w:t>
      </w:r>
      <w:r w:rsidRPr="00EA0939">
        <w:rPr>
          <w:rFonts w:ascii="Arial" w:eastAsia="Times New Roman" w:hAnsi="Arial" w:cs="Arial"/>
          <w:b/>
          <w:bCs/>
          <w:color w:val="000000"/>
          <w:lang w:eastAsia="cs-CZ"/>
        </w:rPr>
        <w:t xml:space="preserve">. </w:t>
      </w:r>
      <w:r w:rsidR="00EA0939" w:rsidRPr="00EA0939">
        <w:rPr>
          <w:rFonts w:ascii="Arial" w:eastAsia="Times New Roman" w:hAnsi="Arial" w:cs="Arial"/>
          <w:b/>
          <w:bCs/>
          <w:color w:val="000000"/>
          <w:lang w:eastAsia="cs-CZ"/>
        </w:rPr>
        <w:t>června</w:t>
      </w:r>
      <w:r w:rsidRPr="00EA0939">
        <w:rPr>
          <w:rFonts w:ascii="Arial" w:eastAsia="Times New Roman" w:hAnsi="Arial" w:cs="Arial"/>
          <w:b/>
          <w:bCs/>
          <w:color w:val="000000"/>
          <w:lang w:eastAsia="cs-CZ"/>
        </w:rPr>
        <w:t xml:space="preserve"> 202</w:t>
      </w:r>
      <w:r w:rsidR="00EA0939" w:rsidRPr="00EA0939">
        <w:rPr>
          <w:rFonts w:ascii="Arial" w:eastAsia="Times New Roman" w:hAnsi="Arial" w:cs="Arial"/>
          <w:b/>
          <w:bCs/>
          <w:color w:val="000000"/>
          <w:lang w:eastAsia="cs-CZ"/>
        </w:rPr>
        <w:t>6</w:t>
      </w:r>
      <w:r w:rsidRPr="00EA0939">
        <w:rPr>
          <w:rFonts w:ascii="Arial" w:eastAsia="Times New Roman" w:hAnsi="Arial" w:cs="Arial"/>
          <w:color w:val="000000"/>
          <w:lang w:eastAsia="cs-CZ"/>
        </w:rPr>
        <w:t xml:space="preserve">– </w:t>
      </w:r>
      <w:r w:rsidR="00EA0939" w:rsidRPr="00EA0939">
        <w:rPr>
          <w:rFonts w:ascii="Arial" w:hAnsi="Arial" w:cs="Arial"/>
          <w:b/>
          <w:bCs/>
        </w:rPr>
        <w:t>Notebook, mobil a internet dnes umožňují podnikat prakticky odkudkoliv. Stále více živnostníků proto během léta přesouvá svou kancelář na chalupu, do hor nebo třeba k moři. Místo výkonu práce ale samo o sobě neznamená, že si mohou automaticky odečíst všechny související výdaje. Daňová pravidla jsou v tomto směru poměrně jasná</w:t>
      </w:r>
      <w:r w:rsidR="00EA0939" w:rsidRPr="00EA0939">
        <w:rPr>
          <w:rFonts w:ascii="Arial" w:hAnsi="Arial" w:cs="Arial"/>
          <w:b/>
          <w:bCs/>
        </w:rPr>
        <w:t>. R</w:t>
      </w:r>
      <w:r w:rsidR="00EA0939" w:rsidRPr="00EA0939">
        <w:rPr>
          <w:rFonts w:ascii="Arial" w:hAnsi="Arial" w:cs="Arial"/>
          <w:b/>
          <w:bCs/>
        </w:rPr>
        <w:t>ozhodující je, zda náklad skutečně souvisí s podnikáním a zda jej podnikatel dokáže při případné kontrole prokázat.</w:t>
      </w:r>
    </w:p>
    <w:p w14:paraId="092037CF" w14:textId="77777777" w:rsidR="00EA0939" w:rsidRPr="00EA0939" w:rsidRDefault="00EA0939" w:rsidP="00EA0939">
      <w:pPr>
        <w:pStyle w:val="Nadpis2"/>
        <w:rPr>
          <w:rFonts w:ascii="Arial" w:hAnsi="Arial" w:cs="Arial"/>
          <w:color w:val="000000"/>
          <w:sz w:val="22"/>
          <w:szCs w:val="22"/>
        </w:rPr>
      </w:pPr>
      <w:r w:rsidRPr="00EA0939">
        <w:rPr>
          <w:rFonts w:ascii="Arial" w:hAnsi="Arial" w:cs="Arial"/>
          <w:color w:val="000000"/>
          <w:sz w:val="22"/>
          <w:szCs w:val="22"/>
        </w:rPr>
        <w:t>Pracovat můžete odkudkoliv. Náklady ale musí souviset s podnikáním</w:t>
      </w:r>
    </w:p>
    <w:p w14:paraId="3409B087" w14:textId="77777777" w:rsidR="00EA0939" w:rsidRPr="00EA0939" w:rsidRDefault="00EA0939" w:rsidP="00EA0939">
      <w:pPr>
        <w:pStyle w:val="Normlnweb"/>
        <w:rPr>
          <w:rFonts w:ascii="Arial" w:hAnsi="Arial" w:cs="Arial"/>
          <w:color w:val="000000"/>
          <w:sz w:val="22"/>
          <w:szCs w:val="22"/>
        </w:rPr>
      </w:pPr>
      <w:r w:rsidRPr="00EA0939">
        <w:rPr>
          <w:rFonts w:ascii="Arial" w:hAnsi="Arial" w:cs="Arial"/>
          <w:color w:val="000000"/>
          <w:sz w:val="22"/>
          <w:szCs w:val="22"/>
        </w:rPr>
        <w:t>Pro osoby samostatně výdělečně činné není podstatné, zda pracují z domova, chalupy nebo apartmánu v zahraničí. Z pohledu daní je důležité především to, aby výdaj sloužil k dosažení, zajištění nebo udržení příjmů z podnikání. Samotný fakt, že někdo během léta několik týdnů pracuje mimo své běžné sídlo, proto nepředstavuje žádný problém.</w:t>
      </w:r>
    </w:p>
    <w:p w14:paraId="329EF94D" w14:textId="2B89DBED" w:rsidR="00EA0939" w:rsidRPr="00EA0939" w:rsidRDefault="00EA0939" w:rsidP="00EA0939">
      <w:pPr>
        <w:pStyle w:val="Normlnweb"/>
        <w:rPr>
          <w:rFonts w:ascii="Arial" w:hAnsi="Arial" w:cs="Arial"/>
          <w:color w:val="000000"/>
          <w:sz w:val="22"/>
          <w:szCs w:val="22"/>
        </w:rPr>
      </w:pPr>
      <w:r>
        <w:rPr>
          <w:rFonts w:ascii="Arial" w:hAnsi="Arial" w:cs="Arial"/>
          <w:color w:val="000000"/>
          <w:sz w:val="22"/>
          <w:szCs w:val="22"/>
        </w:rPr>
        <w:t>„</w:t>
      </w:r>
      <w:r w:rsidRPr="00EA0939">
        <w:rPr>
          <w:rFonts w:ascii="Arial" w:hAnsi="Arial" w:cs="Arial"/>
          <w:color w:val="000000"/>
          <w:sz w:val="22"/>
          <w:szCs w:val="22"/>
        </w:rPr>
        <w:t>Pokud OSVČ uplatňuje skutečné výdaje, může mezi daňově uznatelné náklady zahrnout například notebook, monitor, tiskárnu, mobilní telefon, internetové připojení, kancelářský software, cloudové služby nebo další vybavení nezbytné pro výkon své činnosti. U výdajů, které slouží zároveň pracovním i soukromým účelům, je ale nutné určit přiměřený poměr využití. Typicky jde o telefon, internet, automobil nebo některé provozní náklady domácnosti.</w:t>
      </w:r>
      <w:r w:rsidR="00270D38">
        <w:rPr>
          <w:rFonts w:ascii="Arial" w:hAnsi="Arial" w:cs="Arial"/>
          <w:color w:val="000000"/>
          <w:sz w:val="22"/>
          <w:szCs w:val="22"/>
        </w:rPr>
        <w:t xml:space="preserve"> </w:t>
      </w:r>
      <w:r w:rsidRPr="00EA0939">
        <w:rPr>
          <w:rFonts w:ascii="Arial" w:hAnsi="Arial" w:cs="Arial"/>
          <w:color w:val="000000"/>
          <w:sz w:val="22"/>
          <w:szCs w:val="22"/>
        </w:rPr>
        <w:t>Stejný princip platí i pro domácí kancelář. Pokud podnikatel dlouhodobě využívá část nemovitosti výhradně nebo převážně pro podnikání, může za určitých podmínek uplatnit odpovídající část nákladů na energie, vytápění, nájem nebo další provozní výdaje. Důležité je, aby byl zvolený způsob výpočtu logický, přiměřený a bylo možné jej doložit</w:t>
      </w:r>
      <w:r>
        <w:rPr>
          <w:rFonts w:ascii="Arial" w:hAnsi="Arial" w:cs="Arial"/>
          <w:color w:val="000000"/>
          <w:sz w:val="22"/>
          <w:szCs w:val="22"/>
        </w:rPr>
        <w:t xml:space="preserve">,“ říká Jana </w:t>
      </w:r>
      <w:proofErr w:type="spellStart"/>
      <w:r>
        <w:rPr>
          <w:rFonts w:ascii="Arial" w:hAnsi="Arial" w:cs="Arial"/>
          <w:color w:val="000000"/>
          <w:sz w:val="22"/>
          <w:szCs w:val="22"/>
        </w:rPr>
        <w:t>Jáčová</w:t>
      </w:r>
      <w:proofErr w:type="spellEnd"/>
      <w:r>
        <w:rPr>
          <w:rFonts w:ascii="Arial" w:hAnsi="Arial" w:cs="Arial"/>
          <w:color w:val="000000"/>
          <w:sz w:val="22"/>
          <w:szCs w:val="22"/>
        </w:rPr>
        <w:t>, ředitelka UOL Účetnictví.</w:t>
      </w:r>
    </w:p>
    <w:p w14:paraId="17CEBD8A" w14:textId="73534B74" w:rsidR="00EA0939" w:rsidRPr="00EA0939" w:rsidRDefault="00EA0939" w:rsidP="00EA0939">
      <w:pPr>
        <w:pStyle w:val="Nadpis2"/>
        <w:rPr>
          <w:rFonts w:ascii="Arial" w:hAnsi="Arial" w:cs="Arial"/>
          <w:color w:val="000000"/>
          <w:sz w:val="22"/>
          <w:szCs w:val="22"/>
        </w:rPr>
      </w:pPr>
      <w:r w:rsidRPr="00EA0939">
        <w:rPr>
          <w:rFonts w:ascii="Arial" w:hAnsi="Arial" w:cs="Arial"/>
          <w:color w:val="000000"/>
          <w:sz w:val="22"/>
          <w:szCs w:val="22"/>
        </w:rPr>
        <w:t xml:space="preserve">Kde </w:t>
      </w:r>
      <w:r w:rsidR="00270D38">
        <w:rPr>
          <w:rFonts w:ascii="Arial" w:hAnsi="Arial" w:cs="Arial"/>
          <w:color w:val="000000"/>
          <w:sz w:val="22"/>
          <w:szCs w:val="22"/>
        </w:rPr>
        <w:t>živnostníci</w:t>
      </w:r>
      <w:r w:rsidRPr="00EA0939">
        <w:rPr>
          <w:rFonts w:ascii="Arial" w:hAnsi="Arial" w:cs="Arial"/>
          <w:color w:val="000000"/>
          <w:sz w:val="22"/>
          <w:szCs w:val="22"/>
        </w:rPr>
        <w:t xml:space="preserve"> nejčastěji chybují</w:t>
      </w:r>
    </w:p>
    <w:p w14:paraId="714A244E" w14:textId="77777777" w:rsidR="00EA0939" w:rsidRPr="00EA0939" w:rsidRDefault="00EA0939" w:rsidP="00EA0939">
      <w:pPr>
        <w:pStyle w:val="Normlnweb"/>
        <w:rPr>
          <w:rFonts w:ascii="Arial" w:hAnsi="Arial" w:cs="Arial"/>
          <w:color w:val="000000"/>
          <w:sz w:val="22"/>
          <w:szCs w:val="22"/>
        </w:rPr>
      </w:pPr>
      <w:r w:rsidRPr="00EA0939">
        <w:rPr>
          <w:rFonts w:ascii="Arial" w:hAnsi="Arial" w:cs="Arial"/>
          <w:color w:val="000000"/>
          <w:sz w:val="22"/>
          <w:szCs w:val="22"/>
        </w:rPr>
        <w:t>Častým omylem je představa, že když během dovolené vyřídí několik pracovních telefonátů nebo odpoví na e-maily, mohou si do nákladů zahrnout část ubytování nebo celé pracovní vybavení spojené s pobytem. Ve skutečnosti musí být každý uplatněný výdaj jednoznačně spojen s podnikáním. Pokud je hlavním účelem pobytu rekreace a práce představuje jen okrajovou aktivitu, náklady na ubytování nebo cestu zpravidla mezi daňově uznatelné výdaje nepatří.</w:t>
      </w:r>
    </w:p>
    <w:p w14:paraId="2987EDEF" w14:textId="69242AC6" w:rsidR="00EA0939" w:rsidRPr="00EA0939" w:rsidRDefault="00270D38" w:rsidP="00EA0939">
      <w:pPr>
        <w:pStyle w:val="Normlnweb"/>
        <w:rPr>
          <w:rFonts w:ascii="Arial" w:hAnsi="Arial" w:cs="Arial"/>
          <w:color w:val="000000"/>
          <w:sz w:val="22"/>
          <w:szCs w:val="22"/>
        </w:rPr>
      </w:pPr>
      <w:r>
        <w:rPr>
          <w:rFonts w:ascii="Arial" w:hAnsi="Arial" w:cs="Arial"/>
          <w:color w:val="000000"/>
          <w:sz w:val="22"/>
          <w:szCs w:val="22"/>
        </w:rPr>
        <w:t>„</w:t>
      </w:r>
      <w:r w:rsidR="00EA0939" w:rsidRPr="00EA0939">
        <w:rPr>
          <w:rFonts w:ascii="Arial" w:hAnsi="Arial" w:cs="Arial"/>
          <w:color w:val="000000"/>
          <w:sz w:val="22"/>
          <w:szCs w:val="22"/>
        </w:rPr>
        <w:t>Jiná situace nastává například při služební cestě, pracovním jednání s klientem, účasti na konferenci nebo dlouhodobém pracovním pobytu, kdy lze podnikatelský účel jednoznačně doložit. Rozhodující nejsou fotografie notebooku na hotelovém balkonu ani pracovní videohovor z pláže, ale skutečný charakter celé cesty a dokumentace, která jej potvrzuje.</w:t>
      </w:r>
      <w:r>
        <w:rPr>
          <w:rFonts w:ascii="Arial" w:hAnsi="Arial" w:cs="Arial"/>
          <w:color w:val="000000"/>
          <w:sz w:val="22"/>
          <w:szCs w:val="22"/>
        </w:rPr>
        <w:t xml:space="preserve"> </w:t>
      </w:r>
      <w:r w:rsidR="00EA0939" w:rsidRPr="00EA0939">
        <w:rPr>
          <w:rFonts w:ascii="Arial" w:hAnsi="Arial" w:cs="Arial"/>
          <w:color w:val="000000"/>
          <w:sz w:val="22"/>
          <w:szCs w:val="22"/>
        </w:rPr>
        <w:t>Odlišná pravidla platí také pro podnikatele využívající výdajový paušál. Ten nahrazuje uplatňování skutečných nákladů, a proto si vedle něj nelze samostatně odečítat internet, energie, kancelářské vybavení ani další provozní výdaje spojené s výkonem podnikání. Řada živnostníků si tuto skutečnost neuvědomuje a domnívá se, že mohou oba způsoby kombinovat</w:t>
      </w:r>
      <w:r>
        <w:rPr>
          <w:rFonts w:ascii="Arial" w:hAnsi="Arial" w:cs="Arial"/>
          <w:color w:val="000000"/>
          <w:sz w:val="22"/>
          <w:szCs w:val="22"/>
        </w:rPr>
        <w:t>,“</w:t>
      </w:r>
      <w:r w:rsidRPr="00EA0939">
        <w:rPr>
          <w:rFonts w:ascii="Arial" w:hAnsi="Arial" w:cs="Arial"/>
          <w:sz w:val="22"/>
          <w:szCs w:val="22"/>
        </w:rPr>
        <w:t xml:space="preserve"> říká Pavel Janeček z </w:t>
      </w:r>
      <w:hyperlink r:id="rId6" w:history="1">
        <w:proofErr w:type="spellStart"/>
        <w:r w:rsidRPr="00EA0939">
          <w:rPr>
            <w:rStyle w:val="Hypertextovodkaz"/>
            <w:rFonts w:ascii="Arial" w:hAnsi="Arial" w:cs="Arial"/>
            <w:sz w:val="22"/>
            <w:szCs w:val="22"/>
          </w:rPr>
          <w:t>Royal</w:t>
        </w:r>
        <w:proofErr w:type="spellEnd"/>
        <w:r w:rsidRPr="00EA0939">
          <w:rPr>
            <w:rStyle w:val="Hypertextovodkaz"/>
            <w:rFonts w:ascii="Arial" w:hAnsi="Arial" w:cs="Arial"/>
            <w:sz w:val="22"/>
            <w:szCs w:val="22"/>
          </w:rPr>
          <w:t xml:space="preserve"> </w:t>
        </w:r>
        <w:proofErr w:type="spellStart"/>
        <w:r w:rsidRPr="00EA0939">
          <w:rPr>
            <w:rStyle w:val="Hypertextovodkaz"/>
            <w:rFonts w:ascii="Arial" w:hAnsi="Arial" w:cs="Arial"/>
            <w:sz w:val="22"/>
            <w:szCs w:val="22"/>
          </w:rPr>
          <w:t>Bridge</w:t>
        </w:r>
        <w:proofErr w:type="spellEnd"/>
        <w:r w:rsidRPr="00EA0939">
          <w:rPr>
            <w:rStyle w:val="Hypertextovodkaz"/>
            <w:rFonts w:ascii="Arial" w:hAnsi="Arial" w:cs="Arial"/>
            <w:sz w:val="22"/>
            <w:szCs w:val="22"/>
          </w:rPr>
          <w:t xml:space="preserve"> </w:t>
        </w:r>
        <w:proofErr w:type="spellStart"/>
        <w:r w:rsidRPr="00EA0939">
          <w:rPr>
            <w:rStyle w:val="Hypertextovodkaz"/>
            <w:rFonts w:ascii="Arial" w:hAnsi="Arial" w:cs="Arial"/>
            <w:sz w:val="22"/>
            <w:szCs w:val="22"/>
          </w:rPr>
          <w:t>Partners</w:t>
        </w:r>
        <w:proofErr w:type="spellEnd"/>
        <w:r w:rsidRPr="00EA0939">
          <w:rPr>
            <w:rStyle w:val="Hypertextovodkaz"/>
            <w:rFonts w:ascii="Arial" w:hAnsi="Arial" w:cs="Arial"/>
            <w:sz w:val="22"/>
            <w:szCs w:val="22"/>
          </w:rPr>
          <w:t>.</w:t>
        </w:r>
      </w:hyperlink>
    </w:p>
    <w:p w14:paraId="5EBFA611" w14:textId="77777777" w:rsidR="00EA0939" w:rsidRPr="00EA0939" w:rsidRDefault="00EA0939" w:rsidP="00EA0939">
      <w:pPr>
        <w:pStyle w:val="Nadpis2"/>
        <w:rPr>
          <w:rFonts w:ascii="Arial" w:hAnsi="Arial" w:cs="Arial"/>
          <w:color w:val="000000"/>
          <w:sz w:val="22"/>
          <w:szCs w:val="22"/>
        </w:rPr>
      </w:pPr>
      <w:r w:rsidRPr="00EA0939">
        <w:rPr>
          <w:rFonts w:ascii="Arial" w:hAnsi="Arial" w:cs="Arial"/>
          <w:color w:val="000000"/>
          <w:sz w:val="22"/>
          <w:szCs w:val="22"/>
        </w:rPr>
        <w:t>Doklady jsou stejně důležité jako samotné výdaje</w:t>
      </w:r>
    </w:p>
    <w:p w14:paraId="7952B583" w14:textId="77777777" w:rsidR="00EA0939" w:rsidRPr="00EA0939" w:rsidRDefault="00EA0939" w:rsidP="00EA0939">
      <w:pPr>
        <w:pStyle w:val="Normlnweb"/>
        <w:rPr>
          <w:rFonts w:ascii="Arial" w:hAnsi="Arial" w:cs="Arial"/>
          <w:color w:val="000000"/>
          <w:sz w:val="22"/>
          <w:szCs w:val="22"/>
        </w:rPr>
      </w:pPr>
      <w:r w:rsidRPr="00EA0939">
        <w:rPr>
          <w:rFonts w:ascii="Arial" w:hAnsi="Arial" w:cs="Arial"/>
          <w:color w:val="000000"/>
          <w:sz w:val="22"/>
          <w:szCs w:val="22"/>
        </w:rPr>
        <w:t>Stejně důležitá jako samotný výdaj je i jeho evidence. Finanční úřad při případné kontrole neposuzuje jen to, co si podnikatel uplatnil, ale také zda je schopen své rozhodnutí doložit. Vyplatí se proto uchovávat faktury, smlouvy, účtenky i podklady, podle kterých byl stanoven poměr podnikatelského využití jednotlivých výdajů. Čím lépe je vše zdokumentováno, tím menší je riziko sporů nebo doměření daně.</w:t>
      </w:r>
    </w:p>
    <w:p w14:paraId="065BD4E2" w14:textId="1083DF1A" w:rsidR="00EF44D1" w:rsidRPr="00193096" w:rsidRDefault="00270D38" w:rsidP="00193096">
      <w:pPr>
        <w:pStyle w:val="Normlnweb"/>
        <w:rPr>
          <w:rFonts w:ascii="Arial" w:hAnsi="Arial" w:cs="Arial"/>
          <w:color w:val="000000"/>
          <w:sz w:val="22"/>
          <w:szCs w:val="22"/>
        </w:rPr>
      </w:pPr>
      <w:r>
        <w:rPr>
          <w:rFonts w:ascii="Arial" w:hAnsi="Arial" w:cs="Arial"/>
          <w:color w:val="000000"/>
          <w:sz w:val="22"/>
          <w:szCs w:val="22"/>
        </w:rPr>
        <w:t>„</w:t>
      </w:r>
      <w:r w:rsidR="00EA0939" w:rsidRPr="00EA0939">
        <w:rPr>
          <w:rFonts w:ascii="Arial" w:hAnsi="Arial" w:cs="Arial"/>
          <w:color w:val="000000"/>
          <w:sz w:val="22"/>
          <w:szCs w:val="22"/>
        </w:rPr>
        <w:t>Vyplatí se také myslet na jednoduché pravidlo: pokud si podnikatel není jistý, zda konkrétní výdaj skutečně souvisí s podnikáním, měl by si položit otázku, zda by jej vynaložil i v případě, že by nepodnikal. Pokud je odpověď ano, bude jeho daňová uznatelnost zpravidla obtížně obhajitelná</w:t>
      </w:r>
      <w:r>
        <w:rPr>
          <w:rFonts w:ascii="Arial" w:hAnsi="Arial" w:cs="Arial"/>
          <w:color w:val="000000"/>
          <w:sz w:val="22"/>
          <w:szCs w:val="22"/>
        </w:rPr>
        <w:t xml:space="preserve">,“ dodává Jana </w:t>
      </w:r>
      <w:proofErr w:type="spellStart"/>
      <w:r>
        <w:rPr>
          <w:rFonts w:ascii="Arial" w:hAnsi="Arial" w:cs="Arial"/>
          <w:color w:val="000000"/>
          <w:sz w:val="22"/>
          <w:szCs w:val="22"/>
        </w:rPr>
        <w:t>Jáčová</w:t>
      </w:r>
      <w:proofErr w:type="spellEnd"/>
      <w:r>
        <w:rPr>
          <w:rFonts w:ascii="Arial" w:hAnsi="Arial" w:cs="Arial"/>
          <w:color w:val="000000"/>
          <w:sz w:val="22"/>
          <w:szCs w:val="22"/>
        </w:rPr>
        <w:t xml:space="preserve"> z UOL Účetnictví</w:t>
      </w:r>
    </w:p>
    <w:sectPr w:rsidR="00EF44D1" w:rsidRPr="001930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F94C6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9F0505"/>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2230B7"/>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9FD142C"/>
    <w:multiLevelType w:val="hybridMultilevel"/>
    <w:tmpl w:val="2E5CD110"/>
    <w:lvl w:ilvl="0" w:tplc="79D200AC">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B093C9D"/>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5537AE0"/>
    <w:multiLevelType w:val="hybridMultilevel"/>
    <w:tmpl w:val="75E089EE"/>
    <w:lvl w:ilvl="0" w:tplc="C414B69E">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E992059"/>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B23B68"/>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95035189">
    <w:abstractNumId w:val="2"/>
  </w:num>
  <w:num w:numId="2" w16cid:durableId="1608195187">
    <w:abstractNumId w:val="7"/>
  </w:num>
  <w:num w:numId="3" w16cid:durableId="396169062">
    <w:abstractNumId w:val="0"/>
  </w:num>
  <w:num w:numId="4" w16cid:durableId="2035887508">
    <w:abstractNumId w:val="6"/>
  </w:num>
  <w:num w:numId="5" w16cid:durableId="1345790952">
    <w:abstractNumId w:val="4"/>
  </w:num>
  <w:num w:numId="6" w16cid:durableId="1077165817">
    <w:abstractNumId w:val="1"/>
  </w:num>
  <w:num w:numId="7" w16cid:durableId="267086218">
    <w:abstractNumId w:val="5"/>
  </w:num>
  <w:num w:numId="8" w16cid:durableId="41821500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6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06C"/>
    <w:rsid w:val="0000456F"/>
    <w:rsid w:val="00004AC4"/>
    <w:rsid w:val="00005DD1"/>
    <w:rsid w:val="00007EE1"/>
    <w:rsid w:val="00033790"/>
    <w:rsid w:val="000452D2"/>
    <w:rsid w:val="00046DB0"/>
    <w:rsid w:val="00057C46"/>
    <w:rsid w:val="00084716"/>
    <w:rsid w:val="00096DEC"/>
    <w:rsid w:val="000A3BF8"/>
    <w:rsid w:val="000D29CD"/>
    <w:rsid w:val="000E572A"/>
    <w:rsid w:val="0013282A"/>
    <w:rsid w:val="00170450"/>
    <w:rsid w:val="00193096"/>
    <w:rsid w:val="001951B3"/>
    <w:rsid w:val="001B3E7F"/>
    <w:rsid w:val="001C0E62"/>
    <w:rsid w:val="001D67F7"/>
    <w:rsid w:val="001F5998"/>
    <w:rsid w:val="001F5C32"/>
    <w:rsid w:val="00232EFA"/>
    <w:rsid w:val="002446E7"/>
    <w:rsid w:val="00254D73"/>
    <w:rsid w:val="00270894"/>
    <w:rsid w:val="00270D38"/>
    <w:rsid w:val="002817E3"/>
    <w:rsid w:val="002B6813"/>
    <w:rsid w:val="002E0F98"/>
    <w:rsid w:val="002F1535"/>
    <w:rsid w:val="002F4FFC"/>
    <w:rsid w:val="00302D8E"/>
    <w:rsid w:val="00315252"/>
    <w:rsid w:val="00344EA4"/>
    <w:rsid w:val="00365A93"/>
    <w:rsid w:val="00394B22"/>
    <w:rsid w:val="003A11C4"/>
    <w:rsid w:val="003A33E0"/>
    <w:rsid w:val="003A7572"/>
    <w:rsid w:val="003A7E18"/>
    <w:rsid w:val="003B4591"/>
    <w:rsid w:val="003F2AB4"/>
    <w:rsid w:val="00404C60"/>
    <w:rsid w:val="004236C1"/>
    <w:rsid w:val="0043008D"/>
    <w:rsid w:val="004526A2"/>
    <w:rsid w:val="004534A6"/>
    <w:rsid w:val="00480781"/>
    <w:rsid w:val="00486550"/>
    <w:rsid w:val="00486CB7"/>
    <w:rsid w:val="004929E3"/>
    <w:rsid w:val="004977D3"/>
    <w:rsid w:val="004B1B38"/>
    <w:rsid w:val="004D201C"/>
    <w:rsid w:val="004F226F"/>
    <w:rsid w:val="004F680F"/>
    <w:rsid w:val="004F7A92"/>
    <w:rsid w:val="0053315D"/>
    <w:rsid w:val="00545931"/>
    <w:rsid w:val="00545DBA"/>
    <w:rsid w:val="00563DAA"/>
    <w:rsid w:val="00573CC3"/>
    <w:rsid w:val="005876D1"/>
    <w:rsid w:val="005A38DD"/>
    <w:rsid w:val="005E3934"/>
    <w:rsid w:val="00603B6A"/>
    <w:rsid w:val="00607CD5"/>
    <w:rsid w:val="00616D95"/>
    <w:rsid w:val="00647DB1"/>
    <w:rsid w:val="0066143B"/>
    <w:rsid w:val="00694468"/>
    <w:rsid w:val="006A7375"/>
    <w:rsid w:val="00701FFE"/>
    <w:rsid w:val="00712A33"/>
    <w:rsid w:val="00743DC3"/>
    <w:rsid w:val="00745618"/>
    <w:rsid w:val="00755A9C"/>
    <w:rsid w:val="007562EF"/>
    <w:rsid w:val="00762D5F"/>
    <w:rsid w:val="0077521D"/>
    <w:rsid w:val="007801B0"/>
    <w:rsid w:val="00791D78"/>
    <w:rsid w:val="007A0EFD"/>
    <w:rsid w:val="007C1B27"/>
    <w:rsid w:val="00817942"/>
    <w:rsid w:val="008309F2"/>
    <w:rsid w:val="008850F7"/>
    <w:rsid w:val="008863EF"/>
    <w:rsid w:val="00887CBF"/>
    <w:rsid w:val="00893E07"/>
    <w:rsid w:val="008E000C"/>
    <w:rsid w:val="008E03BD"/>
    <w:rsid w:val="00906E5F"/>
    <w:rsid w:val="00915E88"/>
    <w:rsid w:val="00944A12"/>
    <w:rsid w:val="00957E5B"/>
    <w:rsid w:val="00982B46"/>
    <w:rsid w:val="00983C23"/>
    <w:rsid w:val="009A43DB"/>
    <w:rsid w:val="009B0049"/>
    <w:rsid w:val="009C658F"/>
    <w:rsid w:val="009E6651"/>
    <w:rsid w:val="00A00E02"/>
    <w:rsid w:val="00A177CF"/>
    <w:rsid w:val="00A20E40"/>
    <w:rsid w:val="00A21D05"/>
    <w:rsid w:val="00A261EA"/>
    <w:rsid w:val="00A420CD"/>
    <w:rsid w:val="00A423F0"/>
    <w:rsid w:val="00A844FF"/>
    <w:rsid w:val="00A927E8"/>
    <w:rsid w:val="00AA62D8"/>
    <w:rsid w:val="00AC1C83"/>
    <w:rsid w:val="00AE5212"/>
    <w:rsid w:val="00AF3528"/>
    <w:rsid w:val="00B074C3"/>
    <w:rsid w:val="00B27056"/>
    <w:rsid w:val="00B824BA"/>
    <w:rsid w:val="00BD56D3"/>
    <w:rsid w:val="00C043C5"/>
    <w:rsid w:val="00C14E25"/>
    <w:rsid w:val="00C44FF2"/>
    <w:rsid w:val="00C45C3C"/>
    <w:rsid w:val="00C46332"/>
    <w:rsid w:val="00C47F64"/>
    <w:rsid w:val="00C64413"/>
    <w:rsid w:val="00C75010"/>
    <w:rsid w:val="00C8362F"/>
    <w:rsid w:val="00C90699"/>
    <w:rsid w:val="00C97BA7"/>
    <w:rsid w:val="00CA2033"/>
    <w:rsid w:val="00CC46CD"/>
    <w:rsid w:val="00CC4C99"/>
    <w:rsid w:val="00CE332C"/>
    <w:rsid w:val="00D0201A"/>
    <w:rsid w:val="00D02E26"/>
    <w:rsid w:val="00D47729"/>
    <w:rsid w:val="00D61652"/>
    <w:rsid w:val="00D96F6B"/>
    <w:rsid w:val="00DA043B"/>
    <w:rsid w:val="00DC5F1B"/>
    <w:rsid w:val="00DE206C"/>
    <w:rsid w:val="00E0622C"/>
    <w:rsid w:val="00E23377"/>
    <w:rsid w:val="00E32616"/>
    <w:rsid w:val="00E3379C"/>
    <w:rsid w:val="00E43A08"/>
    <w:rsid w:val="00E56FEE"/>
    <w:rsid w:val="00E575F3"/>
    <w:rsid w:val="00EA0939"/>
    <w:rsid w:val="00EA241D"/>
    <w:rsid w:val="00EB579E"/>
    <w:rsid w:val="00EB6E1E"/>
    <w:rsid w:val="00EC5A19"/>
    <w:rsid w:val="00ED494B"/>
    <w:rsid w:val="00EE0356"/>
    <w:rsid w:val="00EF44D1"/>
    <w:rsid w:val="00F347C4"/>
    <w:rsid w:val="00F42E12"/>
    <w:rsid w:val="00F51C13"/>
    <w:rsid w:val="00F60B5C"/>
    <w:rsid w:val="00F65E9D"/>
    <w:rsid w:val="00F725AB"/>
    <w:rsid w:val="00F95E15"/>
    <w:rsid w:val="00F96086"/>
    <w:rsid w:val="00FE259C"/>
    <w:rsid w:val="00FF78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F983"/>
  <w15:chartTrackingRefBased/>
  <w15:docId w15:val="{E7C257BE-EC62-1B4D-B18B-228999EB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paragraph" w:styleId="Nadpis1">
    <w:name w:val="heading 1"/>
    <w:basedOn w:val="Normln"/>
    <w:next w:val="Normln"/>
    <w:link w:val="Nadpis1Char"/>
    <w:uiPriority w:val="9"/>
    <w:qFormat/>
    <w:rsid w:val="00EA093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Nadpis2">
    <w:name w:val="heading 2"/>
    <w:basedOn w:val="Normln"/>
    <w:link w:val="Nadpis2Char"/>
    <w:uiPriority w:val="9"/>
    <w:qFormat/>
    <w:rsid w:val="00486550"/>
    <w:pPr>
      <w:spacing w:before="100" w:beforeAutospacing="1" w:after="100" w:afterAutospacing="1" w:line="240" w:lineRule="auto"/>
      <w:outlineLvl w:val="1"/>
    </w:pPr>
    <w:rPr>
      <w:rFonts w:ascii="Times New Roman" w:eastAsia="Times New Roman" w:hAnsi="Times New Roman"/>
      <w:b/>
      <w:bCs/>
      <w:sz w:val="36"/>
      <w:szCs w:val="36"/>
      <w:lang w:eastAsia="cs-CZ"/>
    </w:rPr>
  </w:style>
  <w:style w:type="paragraph" w:styleId="Nadpis3">
    <w:name w:val="heading 3"/>
    <w:basedOn w:val="Normln"/>
    <w:link w:val="Nadpis3Char"/>
    <w:uiPriority w:val="9"/>
    <w:qFormat/>
    <w:rsid w:val="00486550"/>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32616"/>
    <w:rPr>
      <w:sz w:val="22"/>
      <w:szCs w:val="22"/>
      <w:lang w:eastAsia="en-US"/>
    </w:rPr>
  </w:style>
  <w:style w:type="character" w:customStyle="1" w:styleId="Nadpis2Char">
    <w:name w:val="Nadpis 2 Char"/>
    <w:basedOn w:val="Standardnpsmoodstavce"/>
    <w:link w:val="Nadpis2"/>
    <w:uiPriority w:val="9"/>
    <w:rsid w:val="00486550"/>
    <w:rPr>
      <w:rFonts w:ascii="Times New Roman" w:eastAsia="Times New Roman" w:hAnsi="Times New Roman"/>
      <w:b/>
      <w:bCs/>
      <w:sz w:val="36"/>
      <w:szCs w:val="36"/>
    </w:rPr>
  </w:style>
  <w:style w:type="character" w:customStyle="1" w:styleId="Nadpis3Char">
    <w:name w:val="Nadpis 3 Char"/>
    <w:basedOn w:val="Standardnpsmoodstavce"/>
    <w:link w:val="Nadpis3"/>
    <w:uiPriority w:val="9"/>
    <w:rsid w:val="00486550"/>
    <w:rPr>
      <w:rFonts w:ascii="Times New Roman" w:eastAsia="Times New Roman" w:hAnsi="Times New Roman"/>
      <w:b/>
      <w:bCs/>
      <w:sz w:val="27"/>
      <w:szCs w:val="27"/>
    </w:rPr>
  </w:style>
  <w:style w:type="paragraph" w:styleId="Normlnweb">
    <w:name w:val="Normal (Web)"/>
    <w:basedOn w:val="Normln"/>
    <w:uiPriority w:val="99"/>
    <w:unhideWhenUsed/>
    <w:rsid w:val="00486550"/>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486550"/>
    <w:rPr>
      <w:b/>
      <w:bCs/>
    </w:rPr>
  </w:style>
  <w:style w:type="character" w:customStyle="1" w:styleId="apple-converted-space">
    <w:name w:val="apple-converted-space"/>
    <w:basedOn w:val="Standardnpsmoodstavce"/>
    <w:rsid w:val="00486550"/>
  </w:style>
  <w:style w:type="character" w:styleId="Hypertextovodkaz">
    <w:name w:val="Hyperlink"/>
    <w:basedOn w:val="Standardnpsmoodstavce"/>
    <w:uiPriority w:val="99"/>
    <w:unhideWhenUsed/>
    <w:rsid w:val="004526A2"/>
    <w:rPr>
      <w:color w:val="467886" w:themeColor="hyperlink"/>
      <w:u w:val="single"/>
    </w:rPr>
  </w:style>
  <w:style w:type="character" w:styleId="Nevyeenzmnka">
    <w:name w:val="Unresolved Mention"/>
    <w:basedOn w:val="Standardnpsmoodstavce"/>
    <w:uiPriority w:val="99"/>
    <w:semiHidden/>
    <w:unhideWhenUsed/>
    <w:rsid w:val="004526A2"/>
    <w:rPr>
      <w:color w:val="605E5C"/>
      <w:shd w:val="clear" w:color="auto" w:fill="E1DFDD"/>
    </w:rPr>
  </w:style>
  <w:style w:type="character" w:customStyle="1" w:styleId="Nadpis1Char">
    <w:name w:val="Nadpis 1 Char"/>
    <w:basedOn w:val="Standardnpsmoodstavce"/>
    <w:link w:val="Nadpis1"/>
    <w:uiPriority w:val="9"/>
    <w:rsid w:val="00EA0939"/>
    <w:rPr>
      <w:rFonts w:asciiTheme="majorHAnsi" w:eastAsiaTheme="majorEastAsia" w:hAnsiTheme="majorHAnsi" w:cstheme="majorBidi"/>
      <w:color w:val="0F476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291681">
      <w:bodyDiv w:val="1"/>
      <w:marLeft w:val="0"/>
      <w:marRight w:val="0"/>
      <w:marTop w:val="0"/>
      <w:marBottom w:val="0"/>
      <w:divBdr>
        <w:top w:val="none" w:sz="0" w:space="0" w:color="auto"/>
        <w:left w:val="none" w:sz="0" w:space="0" w:color="auto"/>
        <w:bottom w:val="none" w:sz="0" w:space="0" w:color="auto"/>
        <w:right w:val="none" w:sz="0" w:space="0" w:color="auto"/>
      </w:divBdr>
      <w:divsChild>
        <w:div w:id="196696921">
          <w:marLeft w:val="0"/>
          <w:marRight w:val="0"/>
          <w:marTop w:val="0"/>
          <w:marBottom w:val="0"/>
          <w:divBdr>
            <w:top w:val="none" w:sz="0" w:space="0" w:color="auto"/>
            <w:left w:val="none" w:sz="0" w:space="0" w:color="auto"/>
            <w:bottom w:val="none" w:sz="0" w:space="0" w:color="auto"/>
            <w:right w:val="none" w:sz="0" w:space="0" w:color="auto"/>
          </w:divBdr>
        </w:div>
        <w:div w:id="1095203274">
          <w:marLeft w:val="0"/>
          <w:marRight w:val="0"/>
          <w:marTop w:val="0"/>
          <w:marBottom w:val="0"/>
          <w:divBdr>
            <w:top w:val="none" w:sz="0" w:space="0" w:color="auto"/>
            <w:left w:val="none" w:sz="0" w:space="0" w:color="auto"/>
            <w:bottom w:val="none" w:sz="0" w:space="0" w:color="auto"/>
            <w:right w:val="none" w:sz="0" w:space="0" w:color="auto"/>
          </w:divBdr>
        </w:div>
        <w:div w:id="1824619292">
          <w:marLeft w:val="0"/>
          <w:marRight w:val="0"/>
          <w:marTop w:val="0"/>
          <w:marBottom w:val="0"/>
          <w:divBdr>
            <w:top w:val="none" w:sz="0" w:space="0" w:color="auto"/>
            <w:left w:val="none" w:sz="0" w:space="0" w:color="auto"/>
            <w:bottom w:val="none" w:sz="0" w:space="0" w:color="auto"/>
            <w:right w:val="none" w:sz="0" w:space="0" w:color="auto"/>
          </w:divBdr>
        </w:div>
      </w:divsChild>
    </w:div>
    <w:div w:id="123231995">
      <w:bodyDiv w:val="1"/>
      <w:marLeft w:val="0"/>
      <w:marRight w:val="0"/>
      <w:marTop w:val="0"/>
      <w:marBottom w:val="0"/>
      <w:divBdr>
        <w:top w:val="none" w:sz="0" w:space="0" w:color="auto"/>
        <w:left w:val="none" w:sz="0" w:space="0" w:color="auto"/>
        <w:bottom w:val="none" w:sz="0" w:space="0" w:color="auto"/>
        <w:right w:val="none" w:sz="0" w:space="0" w:color="auto"/>
      </w:divBdr>
      <w:divsChild>
        <w:div w:id="446699678">
          <w:marLeft w:val="0"/>
          <w:marRight w:val="0"/>
          <w:marTop w:val="0"/>
          <w:marBottom w:val="0"/>
          <w:divBdr>
            <w:top w:val="none" w:sz="0" w:space="0" w:color="auto"/>
            <w:left w:val="none" w:sz="0" w:space="0" w:color="auto"/>
            <w:bottom w:val="none" w:sz="0" w:space="0" w:color="auto"/>
            <w:right w:val="none" w:sz="0" w:space="0" w:color="auto"/>
          </w:divBdr>
        </w:div>
        <w:div w:id="1318459351">
          <w:marLeft w:val="0"/>
          <w:marRight w:val="0"/>
          <w:marTop w:val="0"/>
          <w:marBottom w:val="0"/>
          <w:divBdr>
            <w:top w:val="none" w:sz="0" w:space="0" w:color="auto"/>
            <w:left w:val="none" w:sz="0" w:space="0" w:color="auto"/>
            <w:bottom w:val="none" w:sz="0" w:space="0" w:color="auto"/>
            <w:right w:val="none" w:sz="0" w:space="0" w:color="auto"/>
          </w:divBdr>
        </w:div>
      </w:divsChild>
    </w:div>
    <w:div w:id="315958389">
      <w:bodyDiv w:val="1"/>
      <w:marLeft w:val="0"/>
      <w:marRight w:val="0"/>
      <w:marTop w:val="0"/>
      <w:marBottom w:val="0"/>
      <w:divBdr>
        <w:top w:val="none" w:sz="0" w:space="0" w:color="auto"/>
        <w:left w:val="none" w:sz="0" w:space="0" w:color="auto"/>
        <w:bottom w:val="none" w:sz="0" w:space="0" w:color="auto"/>
        <w:right w:val="none" w:sz="0" w:space="0" w:color="auto"/>
      </w:divBdr>
    </w:div>
    <w:div w:id="378432747">
      <w:bodyDiv w:val="1"/>
      <w:marLeft w:val="0"/>
      <w:marRight w:val="0"/>
      <w:marTop w:val="0"/>
      <w:marBottom w:val="0"/>
      <w:divBdr>
        <w:top w:val="none" w:sz="0" w:space="0" w:color="auto"/>
        <w:left w:val="none" w:sz="0" w:space="0" w:color="auto"/>
        <w:bottom w:val="none" w:sz="0" w:space="0" w:color="auto"/>
        <w:right w:val="none" w:sz="0" w:space="0" w:color="auto"/>
      </w:divBdr>
      <w:divsChild>
        <w:div w:id="13514871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12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5929">
      <w:bodyDiv w:val="1"/>
      <w:marLeft w:val="0"/>
      <w:marRight w:val="0"/>
      <w:marTop w:val="0"/>
      <w:marBottom w:val="0"/>
      <w:divBdr>
        <w:top w:val="none" w:sz="0" w:space="0" w:color="auto"/>
        <w:left w:val="none" w:sz="0" w:space="0" w:color="auto"/>
        <w:bottom w:val="none" w:sz="0" w:space="0" w:color="auto"/>
        <w:right w:val="none" w:sz="0" w:space="0" w:color="auto"/>
      </w:divBdr>
      <w:divsChild>
        <w:div w:id="43065584">
          <w:marLeft w:val="0"/>
          <w:marRight w:val="0"/>
          <w:marTop w:val="0"/>
          <w:marBottom w:val="0"/>
          <w:divBdr>
            <w:top w:val="none" w:sz="0" w:space="0" w:color="auto"/>
            <w:left w:val="none" w:sz="0" w:space="0" w:color="auto"/>
            <w:bottom w:val="none" w:sz="0" w:space="0" w:color="auto"/>
            <w:right w:val="none" w:sz="0" w:space="0" w:color="auto"/>
          </w:divBdr>
        </w:div>
        <w:div w:id="1003435404">
          <w:marLeft w:val="0"/>
          <w:marRight w:val="0"/>
          <w:marTop w:val="0"/>
          <w:marBottom w:val="0"/>
          <w:divBdr>
            <w:top w:val="none" w:sz="0" w:space="0" w:color="auto"/>
            <w:left w:val="none" w:sz="0" w:space="0" w:color="auto"/>
            <w:bottom w:val="none" w:sz="0" w:space="0" w:color="auto"/>
            <w:right w:val="none" w:sz="0" w:space="0" w:color="auto"/>
          </w:divBdr>
        </w:div>
        <w:div w:id="1628858125">
          <w:marLeft w:val="0"/>
          <w:marRight w:val="0"/>
          <w:marTop w:val="0"/>
          <w:marBottom w:val="0"/>
          <w:divBdr>
            <w:top w:val="none" w:sz="0" w:space="0" w:color="auto"/>
            <w:left w:val="none" w:sz="0" w:space="0" w:color="auto"/>
            <w:bottom w:val="none" w:sz="0" w:space="0" w:color="auto"/>
            <w:right w:val="none" w:sz="0" w:space="0" w:color="auto"/>
          </w:divBdr>
        </w:div>
      </w:divsChild>
    </w:div>
    <w:div w:id="710108840">
      <w:bodyDiv w:val="1"/>
      <w:marLeft w:val="0"/>
      <w:marRight w:val="0"/>
      <w:marTop w:val="0"/>
      <w:marBottom w:val="0"/>
      <w:divBdr>
        <w:top w:val="none" w:sz="0" w:space="0" w:color="auto"/>
        <w:left w:val="none" w:sz="0" w:space="0" w:color="auto"/>
        <w:bottom w:val="none" w:sz="0" w:space="0" w:color="auto"/>
        <w:right w:val="none" w:sz="0" w:space="0" w:color="auto"/>
      </w:divBdr>
      <w:divsChild>
        <w:div w:id="252200826">
          <w:marLeft w:val="0"/>
          <w:marRight w:val="0"/>
          <w:marTop w:val="0"/>
          <w:marBottom w:val="0"/>
          <w:divBdr>
            <w:top w:val="none" w:sz="0" w:space="0" w:color="auto"/>
            <w:left w:val="none" w:sz="0" w:space="0" w:color="auto"/>
            <w:bottom w:val="none" w:sz="0" w:space="0" w:color="auto"/>
            <w:right w:val="none" w:sz="0" w:space="0" w:color="auto"/>
          </w:divBdr>
        </w:div>
        <w:div w:id="426390370">
          <w:marLeft w:val="0"/>
          <w:marRight w:val="0"/>
          <w:marTop w:val="0"/>
          <w:marBottom w:val="0"/>
          <w:divBdr>
            <w:top w:val="none" w:sz="0" w:space="0" w:color="auto"/>
            <w:left w:val="none" w:sz="0" w:space="0" w:color="auto"/>
            <w:bottom w:val="none" w:sz="0" w:space="0" w:color="auto"/>
            <w:right w:val="none" w:sz="0" w:space="0" w:color="auto"/>
          </w:divBdr>
        </w:div>
        <w:div w:id="1137331710">
          <w:marLeft w:val="0"/>
          <w:marRight w:val="0"/>
          <w:marTop w:val="0"/>
          <w:marBottom w:val="0"/>
          <w:divBdr>
            <w:top w:val="none" w:sz="0" w:space="0" w:color="auto"/>
            <w:left w:val="none" w:sz="0" w:space="0" w:color="auto"/>
            <w:bottom w:val="none" w:sz="0" w:space="0" w:color="auto"/>
            <w:right w:val="none" w:sz="0" w:space="0" w:color="auto"/>
          </w:divBdr>
        </w:div>
        <w:div w:id="1589272170">
          <w:marLeft w:val="0"/>
          <w:marRight w:val="0"/>
          <w:marTop w:val="0"/>
          <w:marBottom w:val="0"/>
          <w:divBdr>
            <w:top w:val="none" w:sz="0" w:space="0" w:color="auto"/>
            <w:left w:val="none" w:sz="0" w:space="0" w:color="auto"/>
            <w:bottom w:val="none" w:sz="0" w:space="0" w:color="auto"/>
            <w:right w:val="none" w:sz="0" w:space="0" w:color="auto"/>
          </w:divBdr>
        </w:div>
      </w:divsChild>
    </w:div>
    <w:div w:id="1913924011">
      <w:bodyDiv w:val="1"/>
      <w:marLeft w:val="0"/>
      <w:marRight w:val="0"/>
      <w:marTop w:val="0"/>
      <w:marBottom w:val="0"/>
      <w:divBdr>
        <w:top w:val="none" w:sz="0" w:space="0" w:color="auto"/>
        <w:left w:val="none" w:sz="0" w:space="0" w:color="auto"/>
        <w:bottom w:val="none" w:sz="0" w:space="0" w:color="auto"/>
        <w:right w:val="none" w:sz="0" w:space="0" w:color="auto"/>
      </w:divBdr>
    </w:div>
    <w:div w:id="21421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oyalbridgepartners.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E4C7D-683A-4444-A8D3-584BB419A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564</Words>
  <Characters>3328</Characters>
  <Application>Microsoft Office Word</Application>
  <DocSecurity>0</DocSecurity>
  <Lines>27</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3885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5</cp:revision>
  <cp:lastPrinted>2023-01-02T11:49:00Z</cp:lastPrinted>
  <dcterms:created xsi:type="dcterms:W3CDTF">2026-06-30T05:38:00Z</dcterms:created>
  <dcterms:modified xsi:type="dcterms:W3CDTF">2026-06-30T05:47:00Z</dcterms:modified>
  <cp:category/>
</cp:coreProperties>
</file>