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DEDCE" w14:textId="77777777" w:rsidR="009D6FDA" w:rsidRPr="009D6FDA" w:rsidRDefault="009D6FDA" w:rsidP="009D6FDA">
      <w:pPr>
        <w:jc w:val="center"/>
        <w:rPr>
          <w:b/>
          <w:bCs/>
          <w:sz w:val="28"/>
          <w:szCs w:val="28"/>
        </w:rPr>
      </w:pPr>
    </w:p>
    <w:p w14:paraId="42E032CC" w14:textId="3B660693" w:rsidR="009D6FDA" w:rsidRDefault="009D6FDA" w:rsidP="009D6FDA">
      <w:pPr>
        <w:jc w:val="center"/>
        <w:rPr>
          <w:b/>
          <w:bCs/>
          <w:sz w:val="28"/>
          <w:szCs w:val="28"/>
        </w:rPr>
      </w:pPr>
      <w:r w:rsidRPr="009D6FDA">
        <w:rPr>
          <w:b/>
          <w:bCs/>
          <w:sz w:val="28"/>
          <w:szCs w:val="28"/>
        </w:rPr>
        <w:t xml:space="preserve">Poptávka po elektřině </w:t>
      </w:r>
      <w:r w:rsidR="0085101F">
        <w:rPr>
          <w:b/>
          <w:bCs/>
          <w:sz w:val="28"/>
          <w:szCs w:val="28"/>
        </w:rPr>
        <w:t>vzroste</w:t>
      </w:r>
      <w:r>
        <w:rPr>
          <w:b/>
          <w:bCs/>
          <w:sz w:val="28"/>
          <w:szCs w:val="28"/>
        </w:rPr>
        <w:t xml:space="preserve"> do roku 20</w:t>
      </w:r>
      <w:r w:rsidR="0085101F">
        <w:rPr>
          <w:b/>
          <w:bCs/>
          <w:sz w:val="28"/>
          <w:szCs w:val="28"/>
        </w:rPr>
        <w:t>50</w:t>
      </w:r>
      <w:r w:rsidRPr="009D6FDA">
        <w:rPr>
          <w:b/>
          <w:bCs/>
          <w:sz w:val="28"/>
          <w:szCs w:val="28"/>
        </w:rPr>
        <w:t xml:space="preserve"> o tři čtvrtiny</w:t>
      </w:r>
      <w:r>
        <w:rPr>
          <w:b/>
          <w:bCs/>
          <w:sz w:val="28"/>
          <w:szCs w:val="28"/>
        </w:rPr>
        <w:t xml:space="preserve">, </w:t>
      </w:r>
      <w:r w:rsidRPr="009D6FDA">
        <w:rPr>
          <w:b/>
          <w:bCs/>
          <w:sz w:val="28"/>
          <w:szCs w:val="28"/>
        </w:rPr>
        <w:t>hlavně kvůli datovým centrům a umělé inteligenci</w:t>
      </w:r>
      <w:r w:rsidR="00830FF4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říká</w:t>
      </w:r>
      <w:r w:rsidRPr="009D6FDA">
        <w:rPr>
          <w:b/>
          <w:bCs/>
          <w:sz w:val="28"/>
          <w:szCs w:val="28"/>
        </w:rPr>
        <w:t xml:space="preserve"> </w:t>
      </w:r>
      <w:proofErr w:type="spellStart"/>
      <w:r w:rsidRPr="009D6FDA">
        <w:rPr>
          <w:b/>
          <w:bCs/>
          <w:sz w:val="28"/>
          <w:szCs w:val="28"/>
        </w:rPr>
        <w:t>BloombergNEF</w:t>
      </w:r>
      <w:proofErr w:type="spellEnd"/>
    </w:p>
    <w:p w14:paraId="45023785" w14:textId="29A197EA" w:rsidR="009D6FDA" w:rsidRDefault="005D59F6" w:rsidP="009D6FDA">
      <w:pPr>
        <w:rPr>
          <w:b/>
          <w:bCs/>
        </w:rPr>
      </w:pPr>
      <w:r w:rsidRPr="006667D1">
        <w:rPr>
          <w:b/>
          <w:bCs/>
        </w:rPr>
        <w:t xml:space="preserve">Praha, </w:t>
      </w:r>
      <w:r w:rsidR="00915E8B">
        <w:rPr>
          <w:b/>
          <w:bCs/>
        </w:rPr>
        <w:t>13</w:t>
      </w:r>
      <w:r w:rsidR="00B74E23">
        <w:rPr>
          <w:b/>
          <w:bCs/>
        </w:rPr>
        <w:t>.</w:t>
      </w:r>
      <w:r w:rsidRPr="006667D1">
        <w:rPr>
          <w:b/>
          <w:bCs/>
        </w:rPr>
        <w:t xml:space="preserve"> </w:t>
      </w:r>
      <w:r w:rsidR="000735EE">
        <w:rPr>
          <w:b/>
          <w:bCs/>
        </w:rPr>
        <w:t>října</w:t>
      </w:r>
      <w:r w:rsidRPr="006667D1">
        <w:rPr>
          <w:b/>
          <w:bCs/>
        </w:rPr>
        <w:t xml:space="preserve"> 2025</w:t>
      </w:r>
      <w:r>
        <w:t xml:space="preserve"> </w:t>
      </w:r>
      <w:r w:rsidR="00EC526A">
        <w:t>-</w:t>
      </w:r>
      <w:r w:rsidR="00EC526A">
        <w:rPr>
          <w:b/>
          <w:bCs/>
        </w:rPr>
        <w:t xml:space="preserve"> </w:t>
      </w:r>
      <w:r w:rsidR="009D6FDA" w:rsidRPr="009D6FDA">
        <w:rPr>
          <w:b/>
          <w:bCs/>
        </w:rPr>
        <w:t xml:space="preserve">Podle zprávy </w:t>
      </w:r>
      <w:hyperlink r:id="rId4" w:history="1">
        <w:proofErr w:type="spellStart"/>
        <w:r w:rsidR="009D6FDA" w:rsidRPr="0085101F">
          <w:rPr>
            <w:rStyle w:val="Hypertextovodkaz"/>
            <w:b/>
            <w:bCs/>
          </w:rPr>
          <w:t>BloombergNEF</w:t>
        </w:r>
        <w:proofErr w:type="spellEnd"/>
        <w:r w:rsidR="009D6FDA" w:rsidRPr="0085101F">
          <w:rPr>
            <w:rStyle w:val="Hypertextovodkaz"/>
            <w:b/>
            <w:bCs/>
          </w:rPr>
          <w:t xml:space="preserve"> New </w:t>
        </w:r>
        <w:proofErr w:type="spellStart"/>
        <w:r w:rsidR="009D6FDA" w:rsidRPr="0085101F">
          <w:rPr>
            <w:rStyle w:val="Hypertextovodkaz"/>
            <w:b/>
            <w:bCs/>
          </w:rPr>
          <w:t>Energy</w:t>
        </w:r>
        <w:proofErr w:type="spellEnd"/>
        <w:r w:rsidR="009D6FDA" w:rsidRPr="0085101F">
          <w:rPr>
            <w:rStyle w:val="Hypertextovodkaz"/>
            <w:b/>
            <w:bCs/>
          </w:rPr>
          <w:t xml:space="preserve"> Outlook 2025</w:t>
        </w:r>
      </w:hyperlink>
      <w:r w:rsidR="009D6FDA" w:rsidRPr="009D6FDA">
        <w:rPr>
          <w:b/>
          <w:bCs/>
        </w:rPr>
        <w:t xml:space="preserve"> vzroste</w:t>
      </w:r>
      <w:r w:rsidR="00830FF4">
        <w:rPr>
          <w:b/>
          <w:bCs/>
        </w:rPr>
        <w:t xml:space="preserve"> </w:t>
      </w:r>
      <w:r w:rsidR="00830FF4" w:rsidRPr="009D6FDA">
        <w:rPr>
          <w:b/>
          <w:bCs/>
        </w:rPr>
        <w:t xml:space="preserve">oproti </w:t>
      </w:r>
      <w:r w:rsidR="00915E8B">
        <w:rPr>
          <w:b/>
          <w:bCs/>
        </w:rPr>
        <w:t>současnosti</w:t>
      </w:r>
      <w:r w:rsidR="00830FF4" w:rsidRPr="009D6FDA">
        <w:rPr>
          <w:b/>
          <w:bCs/>
        </w:rPr>
        <w:t xml:space="preserve"> </w:t>
      </w:r>
      <w:r w:rsidR="009D6FDA" w:rsidRPr="009D6FDA">
        <w:rPr>
          <w:b/>
          <w:bCs/>
        </w:rPr>
        <w:t xml:space="preserve">celosvětová poptávka po elektřině do roku 2050 přibližně o 75 % Za tímto růstem nestojí jen rozvojová ekonomika či elektromobilita, ale nově i datová centra, výpočetní infrastruktura a aplikace umělé inteligence, jejichž energetická náročnost se dramaticky zvyšuje. </w:t>
      </w:r>
    </w:p>
    <w:p w14:paraId="6A5633CC" w14:textId="48362670" w:rsidR="009D6FDA" w:rsidRPr="009D6FDA" w:rsidRDefault="00830FF4" w:rsidP="009D6FDA">
      <w:proofErr w:type="spellStart"/>
      <w:r w:rsidRPr="00830FF4">
        <w:t>BloombergNEF</w:t>
      </w:r>
      <w:proofErr w:type="spellEnd"/>
      <w:r w:rsidR="009D6FDA" w:rsidRPr="009D6FDA">
        <w:t xml:space="preserve"> předpokládá, že v příští dekádě se může spotřeba elektřiny datovými centry zvýšit šestnáctinásobně, a jen v příštích deseti letech bude nutné přidat více než 360 GW nové kapacity napříč světovými sítěmi. V roce 2035 by tak mohla tato infrastruktura spotřebovávat až 4,5 % světové elektřiny, přičemž do poloviny století by se tento podíl mohl přiblížit k 9 %.</w:t>
      </w:r>
    </w:p>
    <w:p w14:paraId="65F44F81" w14:textId="0CF1DF62" w:rsidR="009D6FDA" w:rsidRPr="0085101F" w:rsidRDefault="009D6FDA" w:rsidP="009D6FDA">
      <w:pPr>
        <w:rPr>
          <w:b/>
          <w:bCs/>
        </w:rPr>
      </w:pPr>
      <w:r w:rsidRPr="009D6FDA">
        <w:rPr>
          <w:b/>
          <w:bCs/>
        </w:rPr>
        <w:t>Obnovitelné zdroje dobývají energetický mix</w:t>
      </w:r>
      <w:r w:rsidR="0085101F">
        <w:rPr>
          <w:b/>
          <w:bCs/>
        </w:rPr>
        <w:br/>
      </w:r>
      <w:r>
        <w:t>„Z hlediska struktury výroby energie zpráva potvrzuje trend, který sledujeme již několik let</w:t>
      </w:r>
      <w:r w:rsidR="0085101F">
        <w:t>,</w:t>
      </w:r>
      <w:r>
        <w:t xml:space="preserve"> fosilní paliva postupně ustupují. Spotřeba ropy má podle </w:t>
      </w:r>
      <w:proofErr w:type="spellStart"/>
      <w:r w:rsidR="00830FF4" w:rsidRPr="00830FF4">
        <w:t>BloombergNEF</w:t>
      </w:r>
      <w:proofErr w:type="spellEnd"/>
      <w:r>
        <w:t xml:space="preserve"> dosáhnout svého vrcholu kolem roku 2032</w:t>
      </w:r>
      <w:r w:rsidR="0085101F">
        <w:t xml:space="preserve">, </w:t>
      </w:r>
      <w:r>
        <w:t>na úrovni zhruba 104 milionů barelů denně</w:t>
      </w:r>
      <w:r w:rsidR="0085101F">
        <w:t>,</w:t>
      </w:r>
      <w:r>
        <w:t xml:space="preserve"> a poté začít pozvolna klesat. Uhlí ztrácí podíl ještě rychleji – díky prudkému zlevňování solární a větrné energie. Zemní plyn naopak zůstává důležitým flexibilním zdrojem, který pomáhá vyrovnávat kolísání obnovitelných zdrojů,“ říká </w:t>
      </w:r>
      <w:r w:rsidRPr="00EC526A">
        <w:t xml:space="preserve">Pavel Bursa ze společnosti </w:t>
      </w:r>
      <w:proofErr w:type="spellStart"/>
      <w:r w:rsidRPr="00EC526A">
        <w:t>Resacs</w:t>
      </w:r>
      <w:proofErr w:type="spellEnd"/>
      <w:r>
        <w:t xml:space="preserve"> a dodává: „Do roku 2050 by mohly obnovitelné zdroje pokrývat přibližně dvě třetiny světové výroby elektřiny. Jen mezi lety 2025 a 2030 by se měl instalovaný výkon solárních a větrných elektráren zvýšit o 84 %.“</w:t>
      </w:r>
    </w:p>
    <w:p w14:paraId="1C2FE144" w14:textId="1ABAD26C" w:rsidR="009D6FDA" w:rsidRPr="0085101F" w:rsidRDefault="00830FF4" w:rsidP="009D6FDA">
      <w:pPr>
        <w:rPr>
          <w:b/>
          <w:bCs/>
        </w:rPr>
      </w:pPr>
      <w:r>
        <w:rPr>
          <w:b/>
          <w:bCs/>
        </w:rPr>
        <w:t>M</w:t>
      </w:r>
      <w:r w:rsidR="009D6FDA" w:rsidRPr="009D6FDA">
        <w:rPr>
          <w:b/>
          <w:bCs/>
        </w:rPr>
        <w:t>ožný emisní zlom</w:t>
      </w:r>
      <w:r w:rsidR="0085101F">
        <w:rPr>
          <w:b/>
          <w:bCs/>
        </w:rPr>
        <w:br/>
      </w:r>
      <w:proofErr w:type="spellStart"/>
      <w:r w:rsidRPr="00830FF4">
        <w:t>BloombergNEF</w:t>
      </w:r>
      <w:proofErr w:type="spellEnd"/>
      <w:r w:rsidR="009D6FDA">
        <w:t xml:space="preserve"> označuje rok 2024 za pravděpodobný vrchol světových emisí CO₂, po němž začne jejich trvalý pokles. Do roku 2050 by podle ekonomického scénáře měly globální emise klesnout zhruba o 22 %. I tak by ale současná trajektorie nestačila k dosažení klimatického cíle 1,5 °C, který by vyžadoval mnohem razantnější dekarbonizační kroky. ETS proto představuje realistický, nikoli ideální scénář: ukazuje, kam svět směřuje čistě na základě nákladové konkurenceschopnosti technologií bez dodatečných zásahů politiků.</w:t>
      </w:r>
    </w:p>
    <w:p w14:paraId="365240F2" w14:textId="3955B550" w:rsidR="009D6FDA" w:rsidRPr="00830FF4" w:rsidRDefault="009D6FDA" w:rsidP="009D6FDA">
      <w:pPr>
        <w:rPr>
          <w:b/>
          <w:bCs/>
        </w:rPr>
      </w:pPr>
      <w:r w:rsidRPr="009D6FDA">
        <w:rPr>
          <w:b/>
          <w:bCs/>
        </w:rPr>
        <w:t>Baterie a úložiště energie jako klíčová infrastruktura</w:t>
      </w:r>
      <w:r w:rsidR="00830FF4">
        <w:rPr>
          <w:b/>
          <w:bCs/>
        </w:rPr>
        <w:br/>
      </w:r>
      <w:r>
        <w:t xml:space="preserve">„Vzhledem k rychlému růstu podílu obnovitelných zdrojů přisuzuje </w:t>
      </w:r>
      <w:proofErr w:type="spellStart"/>
      <w:r w:rsidR="00830FF4" w:rsidRPr="00830FF4">
        <w:t>BloombergNEF</w:t>
      </w:r>
      <w:proofErr w:type="spellEnd"/>
      <w:r>
        <w:t xml:space="preserve"> zásadní význam bateriovým úložištím. Ta budou nezbytná pro stabilizaci sítí, řízení přebytků a zajištění flexibility výroby i spotřeby. Zpráva zdůrazňuje, že ekonomika baterií se stále zlepšuje – cena za uloženou kilowatthodinu dále klesá, technologie se diverzifikuje a rozšiřuje se i druhotné využití baterií z elektromobilů. Úložiště tak přestávají být jen doplňkem k solárním či větrným elektrárnám, ale stávají se samostatným pilířem moderní energetické infrastruktury,“ říká </w:t>
      </w:r>
      <w:r w:rsidRPr="00EC526A">
        <w:t xml:space="preserve">Pavel Bursa </w:t>
      </w:r>
      <w:r>
        <w:t>z </w:t>
      </w:r>
      <w:proofErr w:type="spellStart"/>
      <w:r w:rsidRPr="00EC526A">
        <w:t>Resacs</w:t>
      </w:r>
      <w:proofErr w:type="spellEnd"/>
      <w:r>
        <w:t>.</w:t>
      </w:r>
    </w:p>
    <w:p w14:paraId="0C92615A" w14:textId="363A3D09" w:rsidR="009D6FDA" w:rsidRDefault="0085101F" w:rsidP="009D6FDA">
      <w:r>
        <w:t>T</w:t>
      </w:r>
      <w:r w:rsidR="009D6FDA">
        <w:t>rh s úložišti bude v příštích desetiletích růst rychleji než většina jiných segmentů energetiky. Zároveň ale poroste tlak na nižší náklady, vyšší spolehlivost a pokročilé řídicí systémy. Výhodu získají firmy, které dokážou nabídnout nejen samotné úložiště, ale i inteligentní software (EMS), servisní služby</w:t>
      </w:r>
      <w:r>
        <w:t xml:space="preserve"> a recyklaci</w:t>
      </w:r>
    </w:p>
    <w:p w14:paraId="5EA9E21A" w14:textId="77B1B86D" w:rsidR="009D6FDA" w:rsidRPr="0085101F" w:rsidRDefault="009D6FDA" w:rsidP="009D6FDA">
      <w:pPr>
        <w:rPr>
          <w:b/>
          <w:bCs/>
        </w:rPr>
      </w:pPr>
      <w:r w:rsidRPr="0085101F">
        <w:rPr>
          <w:b/>
          <w:bCs/>
        </w:rPr>
        <w:t>Co z toho plyne pro průmysl a výrobce baterií</w:t>
      </w:r>
      <w:r w:rsidR="0085101F">
        <w:rPr>
          <w:b/>
          <w:bCs/>
        </w:rPr>
        <w:br/>
      </w:r>
      <w:r>
        <w:t xml:space="preserve">Závěry </w:t>
      </w:r>
      <w:proofErr w:type="spellStart"/>
      <w:r w:rsidR="00830FF4" w:rsidRPr="00830FF4">
        <w:t>BloombergNEF</w:t>
      </w:r>
      <w:proofErr w:type="spellEnd"/>
      <w:r>
        <w:t xml:space="preserve"> jsou pro sektor bateriových úložišť jednoznačně pozitivní. Růst poptávky po elektřině je nevyhnutelný, a tudíž i rostoucí potřeba akumulace. Ekonomika obnovitelných technologií je silná a soběstačná, nezávisí už primárně na dotacích. To vytváří stabilní základ pro dlouhodobé investice do výroby baterií, montážních závodů i výzkumu.</w:t>
      </w:r>
      <w:r w:rsidR="0085101F">
        <w:rPr>
          <w:b/>
          <w:bCs/>
        </w:rPr>
        <w:t xml:space="preserve"> </w:t>
      </w:r>
      <w:r>
        <w:t xml:space="preserve">Současně se ale výrobci musí připravit na </w:t>
      </w:r>
      <w:r>
        <w:lastRenderedPageBreak/>
        <w:t xml:space="preserve">vyšší konkurenci a tlak na efektivitu. Úspěšné budou společnosti, které zvládnou optimalizovat celý životní cyklus produktu – od surovin přes design </w:t>
      </w:r>
      <w:proofErr w:type="spellStart"/>
      <w:r>
        <w:t>packů</w:t>
      </w:r>
      <w:proofErr w:type="spellEnd"/>
      <w:r>
        <w:t xml:space="preserve"> až po servisní fázi. </w:t>
      </w:r>
    </w:p>
    <w:p w14:paraId="20D31F61" w14:textId="779A82B8" w:rsidR="009D6FDA" w:rsidRDefault="00830FF4" w:rsidP="009D6FDA">
      <w:r>
        <w:t>„</w:t>
      </w:r>
      <w:proofErr w:type="spellStart"/>
      <w:r w:rsidR="009D6FDA">
        <w:t>BloombergNEF</w:t>
      </w:r>
      <w:proofErr w:type="spellEnd"/>
      <w:r w:rsidR="009D6FDA">
        <w:t xml:space="preserve"> potvrzuje, že přechod k bezemisní energetice je ekonomicky možný a z velké části už probíhá. I bez nových klimatických závazků se trh posouvá směrem k čistším a levnějším zdrojům energie. Baterie a úložiště přitom představují klíčovou technologii, která tuto transformaci umožňuje — nejen jako doplněk, ale jako aktivní nástroj řízení moderní energetiky</w:t>
      </w:r>
      <w:r>
        <w:t xml:space="preserve">,“ dodává </w:t>
      </w:r>
      <w:r w:rsidRPr="00EC526A">
        <w:t xml:space="preserve">Pavel Bursa </w:t>
      </w:r>
      <w:r>
        <w:t>z </w:t>
      </w:r>
      <w:proofErr w:type="spellStart"/>
      <w:r w:rsidRPr="00EC526A">
        <w:t>Resacs</w:t>
      </w:r>
      <w:proofErr w:type="spellEnd"/>
      <w:r>
        <w:t>.</w:t>
      </w:r>
    </w:p>
    <w:p w14:paraId="36EB94A4" w14:textId="7BF39D7E" w:rsidR="00713ECC" w:rsidRDefault="00713ECC" w:rsidP="00F02F1C"/>
    <w:sectPr w:rsidR="00713E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90"/>
    <w:rsid w:val="0002003B"/>
    <w:rsid w:val="00031D21"/>
    <w:rsid w:val="00055DFD"/>
    <w:rsid w:val="00064B8E"/>
    <w:rsid w:val="000735EE"/>
    <w:rsid w:val="00085B31"/>
    <w:rsid w:val="000A38E2"/>
    <w:rsid w:val="000B5237"/>
    <w:rsid w:val="000C3A52"/>
    <w:rsid w:val="000E4F93"/>
    <w:rsid w:val="000E5B1D"/>
    <w:rsid w:val="00107835"/>
    <w:rsid w:val="00146893"/>
    <w:rsid w:val="0016766C"/>
    <w:rsid w:val="001A3C0D"/>
    <w:rsid w:val="001B7BDB"/>
    <w:rsid w:val="001D6D75"/>
    <w:rsid w:val="00217354"/>
    <w:rsid w:val="00240EAD"/>
    <w:rsid w:val="0024177F"/>
    <w:rsid w:val="00284398"/>
    <w:rsid w:val="0029245B"/>
    <w:rsid w:val="00293BC8"/>
    <w:rsid w:val="00320E51"/>
    <w:rsid w:val="0033069B"/>
    <w:rsid w:val="00336D2D"/>
    <w:rsid w:val="00355CF8"/>
    <w:rsid w:val="00380C13"/>
    <w:rsid w:val="00385D41"/>
    <w:rsid w:val="003A3B53"/>
    <w:rsid w:val="003C334C"/>
    <w:rsid w:val="0044649F"/>
    <w:rsid w:val="00450ECA"/>
    <w:rsid w:val="00453F46"/>
    <w:rsid w:val="0048577D"/>
    <w:rsid w:val="00515A44"/>
    <w:rsid w:val="005365F8"/>
    <w:rsid w:val="00562220"/>
    <w:rsid w:val="00566168"/>
    <w:rsid w:val="005B3FAE"/>
    <w:rsid w:val="005B4C38"/>
    <w:rsid w:val="005D01AE"/>
    <w:rsid w:val="005D59F6"/>
    <w:rsid w:val="005E21E7"/>
    <w:rsid w:val="005E555B"/>
    <w:rsid w:val="005E67E9"/>
    <w:rsid w:val="006239A7"/>
    <w:rsid w:val="00640571"/>
    <w:rsid w:val="006667D1"/>
    <w:rsid w:val="00667172"/>
    <w:rsid w:val="00674C71"/>
    <w:rsid w:val="00691826"/>
    <w:rsid w:val="00693BE2"/>
    <w:rsid w:val="006B0F38"/>
    <w:rsid w:val="006E7C07"/>
    <w:rsid w:val="00713ECC"/>
    <w:rsid w:val="007173B4"/>
    <w:rsid w:val="00720E2E"/>
    <w:rsid w:val="0072752E"/>
    <w:rsid w:val="007407C3"/>
    <w:rsid w:val="007527A4"/>
    <w:rsid w:val="00781108"/>
    <w:rsid w:val="007843A2"/>
    <w:rsid w:val="007917C9"/>
    <w:rsid w:val="007D3A8A"/>
    <w:rsid w:val="007D72DD"/>
    <w:rsid w:val="007E2BAA"/>
    <w:rsid w:val="007F0AAD"/>
    <w:rsid w:val="00802992"/>
    <w:rsid w:val="0081589F"/>
    <w:rsid w:val="00823B24"/>
    <w:rsid w:val="00830FF4"/>
    <w:rsid w:val="00843B45"/>
    <w:rsid w:val="0085101F"/>
    <w:rsid w:val="008750D1"/>
    <w:rsid w:val="008903BB"/>
    <w:rsid w:val="008A2936"/>
    <w:rsid w:val="008A616D"/>
    <w:rsid w:val="008B3648"/>
    <w:rsid w:val="008E768C"/>
    <w:rsid w:val="00901E9F"/>
    <w:rsid w:val="00915E8B"/>
    <w:rsid w:val="009347C3"/>
    <w:rsid w:val="00966932"/>
    <w:rsid w:val="00977ADB"/>
    <w:rsid w:val="00991D57"/>
    <w:rsid w:val="009D6FDA"/>
    <w:rsid w:val="00A851C0"/>
    <w:rsid w:val="00A86EBC"/>
    <w:rsid w:val="00A926C1"/>
    <w:rsid w:val="00AB3B62"/>
    <w:rsid w:val="00AC635D"/>
    <w:rsid w:val="00B74E23"/>
    <w:rsid w:val="00B7564E"/>
    <w:rsid w:val="00B922A9"/>
    <w:rsid w:val="00BB0B44"/>
    <w:rsid w:val="00BB19FA"/>
    <w:rsid w:val="00BC02F6"/>
    <w:rsid w:val="00BC3C6A"/>
    <w:rsid w:val="00BD4817"/>
    <w:rsid w:val="00BF3CDD"/>
    <w:rsid w:val="00C01197"/>
    <w:rsid w:val="00C5129D"/>
    <w:rsid w:val="00C5741B"/>
    <w:rsid w:val="00C62F90"/>
    <w:rsid w:val="00C6430D"/>
    <w:rsid w:val="00D61C10"/>
    <w:rsid w:val="00DB4BBD"/>
    <w:rsid w:val="00DB5B13"/>
    <w:rsid w:val="00DE4D35"/>
    <w:rsid w:val="00E00942"/>
    <w:rsid w:val="00E402EF"/>
    <w:rsid w:val="00E56C9F"/>
    <w:rsid w:val="00E64591"/>
    <w:rsid w:val="00E664CA"/>
    <w:rsid w:val="00E70836"/>
    <w:rsid w:val="00E70E8B"/>
    <w:rsid w:val="00E71071"/>
    <w:rsid w:val="00E75B59"/>
    <w:rsid w:val="00E82468"/>
    <w:rsid w:val="00EC526A"/>
    <w:rsid w:val="00F02F1C"/>
    <w:rsid w:val="00F259A7"/>
    <w:rsid w:val="00F42AC2"/>
    <w:rsid w:val="00F748EB"/>
    <w:rsid w:val="00F81BF5"/>
    <w:rsid w:val="00FE1801"/>
    <w:rsid w:val="00FE1A56"/>
    <w:rsid w:val="00FE3EA3"/>
    <w:rsid w:val="00FF6211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92B7B"/>
  <w15:chartTrackingRefBased/>
  <w15:docId w15:val="{CA9F9987-D005-46EC-87A2-3A906438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E4D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365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36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E4D3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E4D3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DE4D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365F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36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5622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636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5595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44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6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2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4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5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4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3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1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722720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42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77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0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06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242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0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41738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843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6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49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6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15880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744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1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4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8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29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2907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2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3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9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7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87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0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517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4847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0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6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76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bout.bnef.com/insights/clean-energy/new-energy-outlook/?utm_source=chatgpt.com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616</Words>
  <Characters>3637</Characters>
  <Application>Microsoft Office Word</Application>
  <DocSecurity>0</DocSecurity>
  <Lines>68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6</cp:revision>
  <dcterms:created xsi:type="dcterms:W3CDTF">2025-10-08T12:45:00Z</dcterms:created>
  <dcterms:modified xsi:type="dcterms:W3CDTF">2025-10-13T09:04:00Z</dcterms:modified>
  <cp:category/>
</cp:coreProperties>
</file>