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DF8CC" w14:textId="7379E192" w:rsidR="00DB27BF" w:rsidRPr="008B30EB" w:rsidRDefault="00DB27BF" w:rsidP="00896012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</w:pPr>
      <w:r w:rsidRPr="00DB27BF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 xml:space="preserve">Méně alkoholu, stejný zážitek. </w:t>
      </w:r>
      <w:r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>M</w:t>
      </w:r>
      <w:r w:rsidRPr="00DB27BF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 xml:space="preserve">ladší generace stále </w:t>
      </w:r>
      <w:r w:rsidR="00B15104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br/>
      </w:r>
      <w:r w:rsidRPr="00DB27BF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>častěji sahá po lehčích vínech</w:t>
      </w:r>
      <w:r w:rsidR="00B15104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>,</w:t>
      </w:r>
      <w:r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 xml:space="preserve"> ukazují nové studie</w:t>
      </w:r>
    </w:p>
    <w:p w14:paraId="36B2D49D" w14:textId="77777777" w:rsidR="008B30EB" w:rsidRDefault="008B30EB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</w:p>
    <w:p w14:paraId="30FF6C8F" w14:textId="104F234C" w:rsidR="00DB27BF" w:rsidRPr="005E63D9" w:rsidRDefault="009E3A06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val="en-US" w:eastAsia="cs-CZ"/>
        </w:rPr>
      </w:pP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Praha, </w:t>
      </w:r>
      <w:r w:rsidR="00DB27B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12</w:t>
      </w: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. </w:t>
      </w:r>
      <w:r w:rsid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března</w:t>
      </w: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2025 - </w:t>
      </w:r>
      <w:r w:rsidR="00DB27BF" w:rsidRPr="00DB27B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Ještě před pár lety platilo, že víno bylo pro mnoho spotřebitelů spojené hlavně s plností, strukturou a také vyšším obsahem alkoholu. Dnes se ale preference části trhu proměňují. Stále výrazněji se ukazuje, že zejména mladší spotřebitelé hledají vína, která působí lehčeji, svěžeji a méně zatěžují organismus. Neznamená to, že by se vína vzdávali úplně. Spíše se mění styl konzumace: méně alkoholu, větší důraz na příležitost, pitelnost a kontrolu nad tím, kolik člověk skutečně vypije</w:t>
      </w:r>
      <w:r w:rsidR="005E63D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.</w:t>
      </w:r>
    </w:p>
    <w:p w14:paraId="15843A73" w14:textId="77777777" w:rsidR="00DB27BF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Tento posun potvrzují i nové studie z let 2025 a 2026. Z nich vyplývá, že nízkoalkoholická a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dealkoholizovaná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vína přestávají být jen okrajovou kategorií a začínají se stávat součástí širší změny spotřebitelského chování. Významnou roli v ní hraje zdravější životní styl, tlak na umírněnost i to, že mladší generace už alkohol automaticky nevnímá jako nezbytnou součást každé společenské situace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,“ </w:t>
      </w:r>
      <w:r w:rsidRPr="008B30E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Miroslav Majer z vinařství Znovín Znojmo.</w:t>
      </w:r>
    </w:p>
    <w:p w14:paraId="7D307372" w14:textId="0997D33A" w:rsidR="00DB27BF" w:rsidRPr="008F1239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DB27B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Mladší spotřebitelé jsou otevřenější změně</w:t>
      </w:r>
      <w:r w:rsidR="008F123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br/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Jedním z nejzajímavějších zjištění posledních let je, že věk opravdu hraje roli. Odborná studie publikovaná v roce 2025 v časopise zaměřeném na spotřebitelské vnímání vín ukazuje, že mladší a méně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frekventní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konzumenti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vína bývají k nízkoalkoholickým vínům otevřenější než starší a více „angažovaní“ konzumenti. Jinými slovy</w:t>
      </w:r>
      <w:r w:rsidR="008F123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. 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čím méně je pro člověka víno spojené s tradičním vinařským rituálem a pevně zakořeněnými očekáváními, tím snáze přijímá i alternativy s nižším obsahem alkoholu.</w:t>
      </w:r>
    </w:p>
    <w:p w14:paraId="46C9C982" w14:textId="77777777" w:rsidR="00DB27BF" w:rsidRPr="00DB27BF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To je důležitý moment i pro samotný vinařský trh. Mladší generace totiž často nepřistupuje k vínu tak dogmaticky jako generace předchozí. Není pro ni zásadní, zda láhev odpovídá starým zvyklostem, ale zda zapadá do jejího životního rytmu. Přednost dostává praktičnost, lehkost a možnost dát si sklenku i ve chvíli, kdy člověk nechce být unavený, zpomalený nebo omezovat další program. Víno se tak z pohledu části mladších konzumentů přesouvá z kategorie „slavnostní alkohol“ do kategorie „nápoj pro konkrétní situaci“.</w:t>
      </w:r>
    </w:p>
    <w:p w14:paraId="49F1F0CF" w14:textId="2A283221" w:rsidR="00DB27BF" w:rsidRPr="008F1239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DB27B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Nejde jen o zdraví, ale i o životní styl</w:t>
      </w:r>
      <w:r w:rsidR="008F123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br/>
      </w:r>
      <w:r w:rsidR="00B15104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Na první pohled by se mohlo zdát, že za rostoucím zájmem o lehčí vína stojí jen zdravotní argument. Ten je bezpochyby důležitý, ale sám o sobě nestačí. Novější výzkumy ukazují, že do rozhodování spotřebitelů vstupuje i širší kulturní změna. Konzumace alkoholu už pro mnoho lidí není automatickou normou. Stále větší význam má takzvané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mindful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drinking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, tedy vědomější a kontrolovanější pití, při němž si člověk vybírá nejen co pije, ale i proč a v jakém množství</w:t>
      </w:r>
      <w:r w:rsidR="00B15104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,“ říká Petr Chaloupecký z ZWG.WINE.</w:t>
      </w:r>
    </w:p>
    <w:p w14:paraId="61B016FB" w14:textId="77777777" w:rsidR="00DB27BF" w:rsidRPr="00DB27BF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Velká britská populační studie zveřejněná v roce 2025 navíc ukázala, že mezi lety 2020 a 2024 výrazně vzrostlo využívání nízkoalkoholických a nealkoholických nápojů jako nástroje ke snižování spotřeby alkoholu. U dospělých v Británii, kteří se snažili pít méně, stoupl podíl těch, kteří v „jakémkoli pokusu o omezení“ využívali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low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a no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alcohol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nápoje, z 26 na 39 procent. U vážně míněných pokusů o omezení pití vzrostl podíl z 35 na 44 procent. Studie zároveň připomíná, že dřívější průzkumy ukazovaly vyšší oblibu těchto nápojů mezi mladšími lidmi než mezi staršími.</w:t>
      </w:r>
    </w:p>
    <w:p w14:paraId="6399803C" w14:textId="5724FDA2" w:rsidR="00DB27BF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I když tato data neřeší jen víno, ale širší segment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low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a no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alcohol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nápojů, trend je zřetelný. Spotřebitelé se učí nahrazovat část běžné konzumace variantami s nižším obsahem alkoholu. A právě víno, tradičně spojené s delším posezením, gastronomií i společenskými 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lastRenderedPageBreak/>
        <w:t>příležitostmi, je jednou z kategorií, kde může být tato změna nejviditelnější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,“ říká Martin </w:t>
      </w:r>
      <w:proofErr w:type="spellStart"/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Venglář</w:t>
      </w:r>
      <w:proofErr w:type="spellEnd"/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 ředitel </w:t>
      </w:r>
      <w:r w:rsidR="006762C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společnosti </w:t>
      </w:r>
      <w:proofErr w:type="spellStart"/>
      <w:r w:rsidR="006762C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Nomce</w:t>
      </w:r>
      <w:proofErr w:type="spellEnd"/>
      <w:r w:rsidR="006762C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 která řídí několik českých hotelů, například </w:t>
      </w:r>
      <w:proofErr w:type="spellStart"/>
      <w:r w:rsidR="006762C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Aparthotel</w:t>
      </w:r>
      <w:proofErr w:type="spellEnd"/>
      <w:r w:rsidR="006762C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Svatý Vavřinec</w:t>
      </w:r>
      <w:r w:rsid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.</w:t>
      </w:r>
    </w:p>
    <w:p w14:paraId="3A6DA46C" w14:textId="0552E709" w:rsidR="00DB27BF" w:rsidRPr="008F1239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DB27B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Trh se mění a vinaři to budou muset vzít v</w:t>
      </w:r>
      <w:r w:rsidR="008F123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 </w:t>
      </w:r>
      <w:r w:rsidRPr="00DB27B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úvahu</w:t>
      </w:r>
      <w:r w:rsidR="008F123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br/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="008F123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Trendy ukazují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, že budoucnost trhu nemusí stát jen na silných, koncentrovaných vínech a tradičním obrazu „velké lahve na velkou příležitost“. Část spotřebitelů dnes hledá jiný typ zážitku</w:t>
      </w:r>
      <w:r w:rsidR="008F123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.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8F123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íno, které lze pít u oběda, během pracovního týdne, při společenském setkání i v situaci, kdy člověk nechce zcela abstinovat, ale současně nechce ani přijmout plnou dávku alkoholu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,“ říká </w:t>
      </w:r>
      <w:r w:rsidRPr="008B30EB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Miroslav Majer z vinařství Znovín Znojmo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a dodává: „Ve Znovínu jsme na tento trend zareagovali a začátkem tohoto roku uvedli na trh 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řadu Lehké jako pírko</w:t>
      </w:r>
      <w:r w:rsidR="00B15104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s</w:t>
      </w:r>
      <w:r w:rsidR="008F123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B15104" w:rsidRPr="00B15104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přirozeně nižším obsahem alkoholu, </w:t>
      </w:r>
      <w:r w:rsidR="00A87196" w:rsidRP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8,5</w:t>
      </w:r>
      <w:r w:rsid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A87196" w:rsidRP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-</w:t>
      </w:r>
      <w:r w:rsid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A87196" w:rsidRP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10,0</w:t>
      </w:r>
      <w:r w:rsid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A87196" w:rsidRP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%</w:t>
      </w:r>
      <w:r w:rsid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.</w:t>
      </w:r>
      <w:r w:rsidR="00A87196" w:rsidRPr="00A8719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B15104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Navíc si m</w:t>
      </w: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yslíme si, že aktuální poptávka po vínech s nižším obsahem alkoholu se netýká jen mladé generace, ale je zajímavá pro všechny věkové skupiny zákazníků. Pro někoho jako doplnění vín s běžným procentem alkoholu okolo 12,0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obj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., pro někoho jako alternativa a odlehčení k jarním a letním teplejším dnům, které nás brzy čekají.</w:t>
      </w:r>
      <w:r w:rsidR="00B15104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“</w:t>
      </w:r>
    </w:p>
    <w:p w14:paraId="068DF4BD" w14:textId="1B49A578" w:rsidR="00DB27BF" w:rsidRDefault="00DB27BF" w:rsidP="00DB27BF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Nejde o konec klasického vína ani o revoluci ze dne na den. Spíš o postupný posun, který začíná u mladších ročníků a postupně ovlivňuje širší trh. Studie z let 2025 a 2026 ukazují, že preference nízkoalkoholických a </w:t>
      </w:r>
      <w:proofErr w:type="spellStart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dealkoholizovaných</w:t>
      </w:r>
      <w:proofErr w:type="spellEnd"/>
      <w:r w:rsidRPr="00DB27BF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variant už není jen marketingový dojem, ale měřitelný trend. Kdo ho podcení, může brzy zjistit, že část zákazníků nehledá méně vína, ale víno, které se lépe hodí k dnešnímu životnímu stylu.</w:t>
      </w:r>
    </w:p>
    <w:p w14:paraId="6CC40347" w14:textId="0264B520" w:rsidR="008F1239" w:rsidRPr="008F1239" w:rsidRDefault="008F1239" w:rsidP="008F1239">
      <w:pPr>
        <w:spacing w:before="100" w:beforeAutospacing="1" w:after="100" w:afterAutospacing="1"/>
        <w:outlineLvl w:val="1"/>
        <w:rPr>
          <w:rFonts w:ascii="Arial" w:eastAsia="Times New Roman" w:hAnsi="Arial" w:cs="Arial"/>
          <w:i/>
          <w:iCs/>
          <w:color w:val="0E2841" w:themeColor="text2"/>
          <w:sz w:val="22"/>
          <w:szCs w:val="22"/>
          <w:lang w:eastAsia="cs-CZ"/>
        </w:rPr>
      </w:pPr>
      <w:r w:rsidRPr="008F1239">
        <w:rPr>
          <w:rFonts w:ascii="Arial" w:eastAsia="Times New Roman" w:hAnsi="Arial" w:cs="Arial"/>
          <w:i/>
          <w:iCs/>
          <w:color w:val="0E2841" w:themeColor="text2"/>
          <w:sz w:val="22"/>
          <w:szCs w:val="22"/>
          <w:lang w:eastAsia="cs-CZ"/>
        </w:rPr>
        <w:t>Zdroje:</w:t>
      </w:r>
      <w:r>
        <w:rPr>
          <w:rFonts w:ascii="Arial" w:eastAsia="Times New Roman" w:hAnsi="Arial" w:cs="Arial"/>
          <w:i/>
          <w:iCs/>
          <w:color w:val="0E2841" w:themeColor="text2"/>
          <w:sz w:val="22"/>
          <w:szCs w:val="22"/>
          <w:lang w:eastAsia="cs-CZ"/>
        </w:rPr>
        <w:br/>
      </w:r>
      <w:hyperlink r:id="rId4" w:history="1">
        <w:r w:rsidR="00EE5F35" w:rsidRPr="00400A3F">
          <w:rPr>
            <w:rStyle w:val="Hypertextovodkaz"/>
            <w:rFonts w:ascii="Arial" w:eastAsia="Times New Roman" w:hAnsi="Arial" w:cs="Arial"/>
            <w:i/>
            <w:iCs/>
            <w:sz w:val="22"/>
            <w:szCs w:val="22"/>
            <w:lang w:eastAsia="cs-CZ"/>
          </w:rPr>
          <w:t>https://pmc.ncbi.nlm.nih.gov/articles/PMC12785501/</w:t>
        </w:r>
      </w:hyperlink>
      <w:r w:rsidRPr="008F1239">
        <w:rPr>
          <w:rFonts w:ascii="Arial" w:eastAsia="Times New Roman" w:hAnsi="Arial" w:cs="Arial"/>
          <w:i/>
          <w:iCs/>
          <w:color w:val="0E2841" w:themeColor="text2"/>
          <w:sz w:val="22"/>
          <w:szCs w:val="22"/>
          <w:lang w:eastAsia="cs-CZ"/>
        </w:rPr>
        <w:br/>
      </w:r>
      <w:hyperlink r:id="rId5" w:history="1">
        <w:r w:rsidRPr="008F1239">
          <w:rPr>
            <w:rStyle w:val="Hypertextovodkaz"/>
            <w:rFonts w:ascii="Arial" w:eastAsia="Times New Roman" w:hAnsi="Arial" w:cs="Arial"/>
            <w:i/>
            <w:iCs/>
            <w:sz w:val="22"/>
            <w:szCs w:val="22"/>
            <w:lang w:eastAsia="cs-CZ"/>
          </w:rPr>
          <w:t>https://pmc.ncbi.nlm.nih.gov/articles/PMC12877855/</w:t>
        </w:r>
      </w:hyperlink>
      <w:r w:rsidRPr="008F1239">
        <w:rPr>
          <w:rFonts w:ascii="Arial" w:eastAsia="Times New Roman" w:hAnsi="Arial" w:cs="Arial"/>
          <w:i/>
          <w:iCs/>
          <w:color w:val="0E2841" w:themeColor="text2"/>
          <w:sz w:val="22"/>
          <w:szCs w:val="22"/>
          <w:lang w:eastAsia="cs-CZ"/>
        </w:rPr>
        <w:br/>
      </w:r>
      <w:hyperlink r:id="rId6" w:history="1">
        <w:r w:rsidRPr="008F1239">
          <w:rPr>
            <w:rStyle w:val="Hypertextovodkaz"/>
            <w:rFonts w:ascii="Arial" w:hAnsi="Arial" w:cs="Arial"/>
            <w:i/>
            <w:iCs/>
            <w:sz w:val="22"/>
            <w:szCs w:val="22"/>
          </w:rPr>
          <w:t>https://www.mdpi.com/2304-8158/15/1/42</w:t>
        </w:r>
      </w:hyperlink>
      <w:r w:rsidRPr="008F1239">
        <w:rPr>
          <w:rFonts w:ascii="Arial" w:hAnsi="Arial" w:cs="Arial"/>
          <w:i/>
          <w:iCs/>
          <w:color w:val="000000"/>
          <w:sz w:val="22"/>
          <w:szCs w:val="22"/>
        </w:rPr>
        <w:br/>
      </w:r>
      <w:hyperlink r:id="rId7" w:history="1">
        <w:r w:rsidRPr="008F1239">
          <w:rPr>
            <w:rStyle w:val="Hypertextovodkaz"/>
            <w:rFonts w:ascii="Arial" w:eastAsia="Times New Roman" w:hAnsi="Arial" w:cs="Arial"/>
            <w:i/>
            <w:iCs/>
            <w:sz w:val="22"/>
            <w:szCs w:val="22"/>
            <w:lang w:eastAsia="cs-CZ"/>
          </w:rPr>
          <w:t>https://ives-openscience.eu/wp-content/uploads/2025/02/OIV2024_493_Rui.pdf</w:t>
        </w:r>
      </w:hyperlink>
      <w:r w:rsidRPr="008F1239">
        <w:rPr>
          <w:rFonts w:ascii="Arial" w:hAnsi="Arial" w:cs="Arial"/>
          <w:i/>
          <w:iCs/>
          <w:color w:val="000000"/>
          <w:sz w:val="22"/>
          <w:szCs w:val="22"/>
        </w:rPr>
        <w:br/>
      </w:r>
      <w:hyperlink r:id="rId8" w:history="1">
        <w:r w:rsidRPr="008F1239">
          <w:rPr>
            <w:rStyle w:val="Hypertextovodkaz"/>
            <w:rFonts w:ascii="Arial" w:hAnsi="Arial" w:cs="Arial"/>
            <w:i/>
            <w:iCs/>
            <w:sz w:val="22"/>
            <w:szCs w:val="22"/>
          </w:rPr>
          <w:t>https://www.vinetur.com/documentos/article/88052/Report_%20Rise%20of%20Non-Alcoholic%20Wines.pdf</w:t>
        </w:r>
      </w:hyperlink>
    </w:p>
    <w:p w14:paraId="5BBFB731" w14:textId="77777777" w:rsidR="008F1239" w:rsidRDefault="008F1239" w:rsidP="008F123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03E1B686" w14:textId="77777777" w:rsidR="00DB27BF" w:rsidRPr="008B30EB" w:rsidRDefault="00DB27BF" w:rsidP="00141DBD">
      <w:pPr>
        <w:spacing w:before="100" w:beforeAutospacing="1" w:after="100" w:afterAutospacing="1"/>
        <w:outlineLvl w:val="1"/>
        <w:rPr>
          <w:rFonts w:ascii="Arial" w:eastAsia="Times New Roman" w:hAnsi="Arial" w:cs="Arial"/>
          <w:strike/>
          <w:color w:val="0E2841" w:themeColor="text2"/>
          <w:sz w:val="22"/>
          <w:szCs w:val="22"/>
          <w:lang w:eastAsia="cs-CZ"/>
        </w:rPr>
      </w:pPr>
    </w:p>
    <w:p w14:paraId="1149B057" w14:textId="1A2A2041" w:rsidR="00DA4CF8" w:rsidRPr="008B30EB" w:rsidRDefault="00DA4CF8" w:rsidP="00F76192">
      <w:pPr>
        <w:rPr>
          <w:rFonts w:ascii="Arial" w:hAnsi="Arial" w:cs="Arial"/>
          <w:color w:val="0E2841" w:themeColor="text2"/>
          <w:sz w:val="22"/>
          <w:szCs w:val="22"/>
        </w:rPr>
      </w:pPr>
    </w:p>
    <w:sectPr w:rsidR="00DA4CF8" w:rsidRPr="008B30EB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12471"/>
    <w:rsid w:val="00025129"/>
    <w:rsid w:val="000377B2"/>
    <w:rsid w:val="00041627"/>
    <w:rsid w:val="000606C4"/>
    <w:rsid w:val="00067678"/>
    <w:rsid w:val="000724ED"/>
    <w:rsid w:val="000A17B6"/>
    <w:rsid w:val="000E7F06"/>
    <w:rsid w:val="00116624"/>
    <w:rsid w:val="00141DBD"/>
    <w:rsid w:val="00193F80"/>
    <w:rsid w:val="002941C2"/>
    <w:rsid w:val="00310077"/>
    <w:rsid w:val="003A1AB4"/>
    <w:rsid w:val="00424B82"/>
    <w:rsid w:val="00466561"/>
    <w:rsid w:val="00473AF7"/>
    <w:rsid w:val="004777DE"/>
    <w:rsid w:val="00481B81"/>
    <w:rsid w:val="004A6749"/>
    <w:rsid w:val="004C1F55"/>
    <w:rsid w:val="004C73D9"/>
    <w:rsid w:val="004F3D1E"/>
    <w:rsid w:val="004F476E"/>
    <w:rsid w:val="004F52C3"/>
    <w:rsid w:val="00527CBD"/>
    <w:rsid w:val="005369CF"/>
    <w:rsid w:val="0056223D"/>
    <w:rsid w:val="00566EF5"/>
    <w:rsid w:val="005749E1"/>
    <w:rsid w:val="00596173"/>
    <w:rsid w:val="005B19D4"/>
    <w:rsid w:val="005D6A1F"/>
    <w:rsid w:val="005E63D9"/>
    <w:rsid w:val="006244FC"/>
    <w:rsid w:val="00650E49"/>
    <w:rsid w:val="006762CB"/>
    <w:rsid w:val="006A6F80"/>
    <w:rsid w:val="006A7375"/>
    <w:rsid w:val="006B1164"/>
    <w:rsid w:val="006B3EC5"/>
    <w:rsid w:val="006C7D41"/>
    <w:rsid w:val="006D4ECB"/>
    <w:rsid w:val="007017F9"/>
    <w:rsid w:val="0075030C"/>
    <w:rsid w:val="00792D03"/>
    <w:rsid w:val="007A3F60"/>
    <w:rsid w:val="007B1EC6"/>
    <w:rsid w:val="008106BD"/>
    <w:rsid w:val="0082618E"/>
    <w:rsid w:val="008270FD"/>
    <w:rsid w:val="00831670"/>
    <w:rsid w:val="00840235"/>
    <w:rsid w:val="00880F11"/>
    <w:rsid w:val="00890C20"/>
    <w:rsid w:val="00896012"/>
    <w:rsid w:val="008A0FAE"/>
    <w:rsid w:val="008A578C"/>
    <w:rsid w:val="008B30EB"/>
    <w:rsid w:val="008B3B84"/>
    <w:rsid w:val="008C19EC"/>
    <w:rsid w:val="008D68DC"/>
    <w:rsid w:val="008E4C8F"/>
    <w:rsid w:val="008F0E9B"/>
    <w:rsid w:val="008F1239"/>
    <w:rsid w:val="009E3A06"/>
    <w:rsid w:val="009E3ADE"/>
    <w:rsid w:val="00A5741F"/>
    <w:rsid w:val="00A62850"/>
    <w:rsid w:val="00A87196"/>
    <w:rsid w:val="00AD4D16"/>
    <w:rsid w:val="00AE5398"/>
    <w:rsid w:val="00B15104"/>
    <w:rsid w:val="00B242D0"/>
    <w:rsid w:val="00B87F8B"/>
    <w:rsid w:val="00B956A8"/>
    <w:rsid w:val="00BB7D74"/>
    <w:rsid w:val="00C072C1"/>
    <w:rsid w:val="00CB5585"/>
    <w:rsid w:val="00CE510E"/>
    <w:rsid w:val="00CF2DE4"/>
    <w:rsid w:val="00CF52A7"/>
    <w:rsid w:val="00D84CD4"/>
    <w:rsid w:val="00DA1EB4"/>
    <w:rsid w:val="00DA4CF8"/>
    <w:rsid w:val="00DB27BF"/>
    <w:rsid w:val="00E41C1F"/>
    <w:rsid w:val="00E43935"/>
    <w:rsid w:val="00E938C9"/>
    <w:rsid w:val="00ED2CF5"/>
    <w:rsid w:val="00EE18A6"/>
    <w:rsid w:val="00EE5F35"/>
    <w:rsid w:val="00EF1717"/>
    <w:rsid w:val="00EF5706"/>
    <w:rsid w:val="00EF7905"/>
    <w:rsid w:val="00F17AB7"/>
    <w:rsid w:val="00F76192"/>
    <w:rsid w:val="00F8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F12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netur.com/documentos/article/88052/Report_%20Rise%20of%20Non-Alcoholic%20Win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ves-openscience.eu/wp-content/uploads/2025/02/OIV2024_493_Rui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dpi.com/2304-8158/15/1/42" TargetMode="External"/><Relationship Id="rId5" Type="http://schemas.openxmlformats.org/officeDocument/2006/relationships/hyperlink" Target="https://pmc.ncbi.nlm.nih.gov/articles/PMC12877855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mc.ncbi.nlm.nih.gov/articles/PMC12785501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838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4</cp:revision>
  <dcterms:created xsi:type="dcterms:W3CDTF">2026-03-11T15:05:00Z</dcterms:created>
  <dcterms:modified xsi:type="dcterms:W3CDTF">2026-03-12T08:27:00Z</dcterms:modified>
</cp:coreProperties>
</file>