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AA6330" w:rsidRDefault="00000000">
      <w:pPr>
        <w:pStyle w:val="Nadpis1"/>
        <w:keepNext w:val="0"/>
        <w:keepLines w:val="0"/>
        <w:spacing w:before="480"/>
        <w:jc w:val="center"/>
        <w:rPr>
          <w:b/>
          <w:bCs/>
          <w:sz w:val="28"/>
          <w:szCs w:val="28"/>
        </w:rPr>
      </w:pPr>
      <w:bookmarkStart w:id="0" w:name="_a5l31xty86uu" w:colFirst="0" w:colLast="0"/>
      <w:bookmarkEnd w:id="0"/>
      <w:r>
        <w:rPr>
          <w:b/>
          <w:bCs/>
          <w:sz w:val="28"/>
          <w:szCs w:val="28"/>
        </w:rPr>
        <w:t xml:space="preserve">Nemovitost bez emocí. Proč investoři přeplácejí </w:t>
      </w:r>
      <w:r>
        <w:rPr>
          <w:b/>
          <w:bCs/>
          <w:sz w:val="28"/>
          <w:szCs w:val="28"/>
        </w:rPr>
        <w:br/>
        <w:t>hezké byty a podceňují čísla</w:t>
      </w:r>
    </w:p>
    <w:p w14:paraId="00000002" w14:textId="77777777" w:rsidR="00AA6330" w:rsidRDefault="00AA6330"/>
    <w:p w14:paraId="00000003" w14:textId="0F18FD83" w:rsidR="00AA6330" w:rsidRDefault="00000000">
      <w:pPr>
        <w:spacing w:before="240" w:after="240"/>
        <w:rPr>
          <w:b/>
          <w:bCs/>
        </w:rPr>
      </w:pPr>
      <w:r>
        <w:rPr>
          <w:b/>
          <w:bCs/>
        </w:rPr>
        <w:t>Praha, 2</w:t>
      </w:r>
      <w:r w:rsidR="006E1BF0">
        <w:rPr>
          <w:b/>
          <w:bCs/>
        </w:rPr>
        <w:t>8</w:t>
      </w:r>
      <w:r>
        <w:rPr>
          <w:b/>
          <w:bCs/>
        </w:rPr>
        <w:t>. 4. 2026</w:t>
      </w:r>
      <w:r>
        <w:t xml:space="preserve"> - </w:t>
      </w:r>
      <w:r>
        <w:rPr>
          <w:b/>
          <w:bCs/>
        </w:rPr>
        <w:t>Investice do nemovitostí bývá často považována za racionální disciplínu postavenou na číslech, lokalitě a dlouhodobém výnosu. Praxe ale ukazuje, že i zkušení kupující dělají rozhodnutí pod vlivem emocí. Stačí několik minut v atraktivně zařízeném bytě, výhled do zeleně nebo pocit, že „taková příležitost už nebude“, a původně analytický přístup rychle ustupuje intuici. Výsledkem pak může být přeplacená koupě, slabší výnos nebo komplikovanější budoucí prodej. Právě u investičních nemovitostí je přitom důležité oddělit osobní vkus od ekonomické reality.</w:t>
      </w:r>
    </w:p>
    <w:p w14:paraId="00000004" w14:textId="77777777" w:rsidR="00AA6330" w:rsidRDefault="00000000">
      <w:pPr>
        <w:pStyle w:val="Nadpis2"/>
        <w:keepNext w:val="0"/>
        <w:keepLines w:val="0"/>
        <w:spacing w:after="80"/>
        <w:rPr>
          <w:b/>
          <w:bCs/>
          <w:sz w:val="22"/>
          <w:szCs w:val="22"/>
        </w:rPr>
      </w:pPr>
      <w:bookmarkStart w:id="1" w:name="_ij7y9afx4ay" w:colFirst="0" w:colLast="0"/>
      <w:bookmarkEnd w:id="1"/>
      <w:r>
        <w:rPr>
          <w:b/>
          <w:bCs/>
          <w:sz w:val="22"/>
          <w:szCs w:val="22"/>
        </w:rPr>
        <w:t>Hezký byt nemusí být dobrá investice</w:t>
      </w:r>
    </w:p>
    <w:p w14:paraId="00000005" w14:textId="77777777" w:rsidR="00AA6330" w:rsidRDefault="00000000">
      <w:pPr>
        <w:spacing w:before="240" w:after="240"/>
      </w:pPr>
      <w:r>
        <w:t xml:space="preserve">Jednou z nejčastějších chyb je zaměňování bytu, ve kterém by člověk chtěl sám bydlet, za byt, který dává smysl jako investice. To jsou však dvě odlišné disciplíny. Kupující často preferují designové rekonstrukce, luxusní materiály, atypická řešení nebo dispozice, které jim osobně vyhovují. </w:t>
      </w:r>
    </w:p>
    <w:p w14:paraId="00000006" w14:textId="77777777" w:rsidR="00AA6330" w:rsidRDefault="00000000">
      <w:pPr>
        <w:spacing w:before="240" w:after="240"/>
      </w:pPr>
      <w:r>
        <w:t xml:space="preserve">“Nájemní trh ale obvykle oceňuje něco jiného – funkčnost, praktičnost, rozumné provozní náklady, dostatek úložného prostoru a dobrou dopravní dostupnost. Byt s drahou kuchyní a efektním interiérem může působit atraktivně, ale pokud se nachází v lokalitě se slabší poptávkou nebo má vysoké měsíční náklady, investiční logika se rychle vytrácí. Naopak obyčejnější jednotka v silné </w:t>
      </w:r>
      <w:proofErr w:type="spellStart"/>
      <w:r>
        <w:t>mikrolokalitě</w:t>
      </w:r>
      <w:proofErr w:type="spellEnd"/>
      <w:r>
        <w:t xml:space="preserve"> může přinést vyšší obsazenost, stabilnější nájemníky i lepší dlouhodobý růst hodnoty,” říká Pavel Janeček z </w:t>
      </w:r>
      <w:hyperlink r:id="rId4">
        <w:proofErr w:type="spellStart"/>
        <w:r>
          <w:rPr>
            <w:color w:val="96607D"/>
            <w:u w:val="single"/>
          </w:rPr>
          <w:t>Royal</w:t>
        </w:r>
        <w:proofErr w:type="spellEnd"/>
        <w:r>
          <w:rPr>
            <w:color w:val="96607D"/>
            <w:u w:val="single"/>
          </w:rPr>
          <w:t xml:space="preserve"> </w:t>
        </w:r>
        <w:proofErr w:type="spellStart"/>
        <w:r>
          <w:rPr>
            <w:color w:val="96607D"/>
            <w:u w:val="single"/>
          </w:rPr>
          <w:t>Bridge</w:t>
        </w:r>
        <w:proofErr w:type="spellEnd"/>
        <w:r>
          <w:rPr>
            <w:color w:val="96607D"/>
            <w:u w:val="single"/>
          </w:rPr>
          <w:t xml:space="preserve"> </w:t>
        </w:r>
        <w:proofErr w:type="spellStart"/>
        <w:r>
          <w:rPr>
            <w:color w:val="96607D"/>
            <w:u w:val="single"/>
          </w:rPr>
          <w:t>Partners</w:t>
        </w:r>
        <w:proofErr w:type="spellEnd"/>
        <w:r>
          <w:rPr>
            <w:color w:val="96607D"/>
            <w:u w:val="single"/>
          </w:rPr>
          <w:t>.</w:t>
        </w:r>
      </w:hyperlink>
    </w:p>
    <w:p w14:paraId="00000007" w14:textId="77777777" w:rsidR="00AA6330" w:rsidRDefault="00000000">
      <w:pPr>
        <w:pStyle w:val="Nadpis2"/>
        <w:keepNext w:val="0"/>
        <w:keepLines w:val="0"/>
        <w:spacing w:after="80"/>
        <w:rPr>
          <w:b/>
          <w:bCs/>
          <w:sz w:val="22"/>
          <w:szCs w:val="22"/>
        </w:rPr>
      </w:pPr>
      <w:bookmarkStart w:id="2" w:name="_mlexu9n74acg" w:colFirst="0" w:colLast="0"/>
      <w:bookmarkEnd w:id="2"/>
      <w:r>
        <w:rPr>
          <w:b/>
          <w:bCs/>
          <w:sz w:val="22"/>
          <w:szCs w:val="22"/>
        </w:rPr>
        <w:t>Emoce zdražují nákupní cenu</w:t>
      </w:r>
    </w:p>
    <w:p w14:paraId="00000008" w14:textId="77777777" w:rsidR="00AA6330" w:rsidRDefault="00000000">
      <w:pPr>
        <w:spacing w:before="240" w:after="240"/>
      </w:pPr>
      <w:r>
        <w:t>Dalším častým jevem je soutěžení kupujících. Pokud je nemovitost prezentována kvalitně, má dobrý příběh a vyvolá pocit exkluzivity, řada zájemců začne rozhodovat impulzivně. Objevuje se strach, že pokud člověk nezareaguje ihned, příležitost zmizí. Tento efekt vede k navyšování ceny nad úroveň, kterou ospravedlňují výnosové parametry.</w:t>
      </w:r>
    </w:p>
    <w:p w14:paraId="00000009" w14:textId="77777777" w:rsidR="00AA6330" w:rsidRDefault="00000000">
      <w:pPr>
        <w:spacing w:before="240" w:after="240"/>
      </w:pPr>
      <w:r>
        <w:t>Zkušený investor se proto neptá, zda se mu byt líbí, ale zda při dané ceně funguje matematika celé transakce. Sleduje očekávaný nájem, výši fondu oprav, budoucí investice do domu, náklady financování, daňové dopady i realistickou likviditu při prodeji. Pokud čísla nevycházejí, emoce by měly ustoupit.</w:t>
      </w:r>
    </w:p>
    <w:p w14:paraId="0000000A" w14:textId="4BC5C18A" w:rsidR="00AA6330" w:rsidRDefault="005D1568">
      <w:pPr>
        <w:pStyle w:val="Nadpis2"/>
        <w:keepNext w:val="0"/>
        <w:keepLines w:val="0"/>
        <w:spacing w:after="80"/>
        <w:rPr>
          <w:b/>
          <w:bCs/>
          <w:sz w:val="22"/>
          <w:szCs w:val="22"/>
        </w:rPr>
      </w:pPr>
      <w:bookmarkStart w:id="3" w:name="_hty8p2lvvoev" w:colFirst="0" w:colLast="0"/>
      <w:bookmarkEnd w:id="3"/>
      <w:r>
        <w:rPr>
          <w:b/>
          <w:bCs/>
          <w:sz w:val="22"/>
          <w:szCs w:val="22"/>
        </w:rPr>
        <w:t>Častá</w:t>
      </w:r>
      <w:r w:rsidR="00000000">
        <w:rPr>
          <w:b/>
          <w:bCs/>
          <w:sz w:val="22"/>
          <w:szCs w:val="22"/>
        </w:rPr>
        <w:t xml:space="preserve"> chyba? Podceněná správa</w:t>
      </w:r>
    </w:p>
    <w:p w14:paraId="0000000B" w14:textId="77777777" w:rsidR="00AA6330" w:rsidRDefault="00000000">
      <w:pPr>
        <w:spacing w:before="240" w:after="240"/>
      </w:pPr>
      <w:r>
        <w:t xml:space="preserve">Mnoho investorů věnuje maximum energie samotnému nákupu, ale podceňuje období po převzetí nemovitosti. Přitom právě správa často rozhoduje o skutečném výsledku investice. </w:t>
      </w:r>
    </w:p>
    <w:p w14:paraId="0000000C" w14:textId="77777777" w:rsidR="00AA6330" w:rsidRDefault="00000000">
      <w:pPr>
        <w:spacing w:before="240" w:after="240"/>
      </w:pPr>
      <w:r>
        <w:lastRenderedPageBreak/>
        <w:t>“Rozdíl mezi stabilním nájemníkem a častou fluktuací, mezi preventivní údržbou a odkládanými opravami nebo mezi kvalitní smlouvou a právními spory může znamenat desítky až stovky tisíc korun.</w:t>
      </w:r>
    </w:p>
    <w:p w14:paraId="0000000D" w14:textId="16372D63" w:rsidR="00AA6330" w:rsidRDefault="00000000">
      <w:pPr>
        <w:spacing w:before="240" w:after="240"/>
      </w:pPr>
      <w:r>
        <w:t xml:space="preserve">Nemovitost není pasivní aktivum v pravém slova smyslu. Vyžaduje kontrolu cash </w:t>
      </w:r>
      <w:proofErr w:type="spellStart"/>
      <w:r>
        <w:t>flow</w:t>
      </w:r>
      <w:proofErr w:type="spellEnd"/>
      <w:r>
        <w:t>, práci s nájemníky, průběžné investice i schopnost reagovat na změny trhu. Investor, který koupí výborně, ale spravuje průměrně, může dopadnout hůře než ten, kdo nakoupil „jen dobře“, ale majetek profesionálně řídí,</w:t>
      </w:r>
      <w:r w:rsidR="006C2565">
        <w:t>“</w:t>
      </w:r>
      <w:r>
        <w:t xml:space="preserve"> říká Pavel Janeček z </w:t>
      </w:r>
      <w:hyperlink r:id="rId5">
        <w:proofErr w:type="spellStart"/>
        <w:r>
          <w:rPr>
            <w:color w:val="96607D"/>
            <w:u w:val="single"/>
          </w:rPr>
          <w:t>Royal</w:t>
        </w:r>
        <w:proofErr w:type="spellEnd"/>
        <w:r>
          <w:rPr>
            <w:color w:val="96607D"/>
            <w:u w:val="single"/>
          </w:rPr>
          <w:t xml:space="preserve"> </w:t>
        </w:r>
        <w:proofErr w:type="spellStart"/>
        <w:r>
          <w:rPr>
            <w:color w:val="96607D"/>
            <w:u w:val="single"/>
          </w:rPr>
          <w:t>Bridge</w:t>
        </w:r>
        <w:proofErr w:type="spellEnd"/>
        <w:r>
          <w:rPr>
            <w:color w:val="96607D"/>
            <w:u w:val="single"/>
          </w:rPr>
          <w:t xml:space="preserve"> </w:t>
        </w:r>
        <w:proofErr w:type="spellStart"/>
        <w:r>
          <w:rPr>
            <w:color w:val="96607D"/>
            <w:u w:val="single"/>
          </w:rPr>
          <w:t>Partners</w:t>
        </w:r>
        <w:proofErr w:type="spellEnd"/>
        <w:r>
          <w:rPr>
            <w:color w:val="96607D"/>
            <w:u w:val="single"/>
          </w:rPr>
          <w:t>.</w:t>
        </w:r>
      </w:hyperlink>
    </w:p>
    <w:p w14:paraId="0000000E" w14:textId="77777777" w:rsidR="00AA6330" w:rsidRDefault="00000000">
      <w:pPr>
        <w:pStyle w:val="Nadpis2"/>
        <w:keepNext w:val="0"/>
        <w:keepLines w:val="0"/>
        <w:spacing w:after="80"/>
        <w:rPr>
          <w:b/>
          <w:bCs/>
          <w:sz w:val="22"/>
          <w:szCs w:val="22"/>
        </w:rPr>
      </w:pPr>
      <w:bookmarkStart w:id="4" w:name="_wxaemwrt6wst" w:colFirst="0" w:colLast="0"/>
      <w:bookmarkEnd w:id="4"/>
      <w:r>
        <w:rPr>
          <w:b/>
          <w:bCs/>
          <w:sz w:val="22"/>
          <w:szCs w:val="22"/>
        </w:rPr>
        <w:t>Jak oddělit emoce od rozhodnutí</w:t>
      </w:r>
    </w:p>
    <w:p w14:paraId="0000000F" w14:textId="77777777" w:rsidR="00AA6330" w:rsidRDefault="00000000">
      <w:pPr>
        <w:spacing w:before="240" w:after="240"/>
      </w:pPr>
      <w:r>
        <w:t xml:space="preserve">Profesionální přístup začíná jednoduchou otázkou: koupil bych tuto nemovitost i tehdy, kdybych ji nikdy neviděl zařízenou a hodnotil pouze data? Pomáhá pracovat s pevně nastavenými kritérii – minimální výnos, maximální cena za metr, požadovaná lokalita, technický stav domu nebo rezerva na opravy. </w:t>
      </w:r>
    </w:p>
    <w:p w14:paraId="00000010" w14:textId="77777777" w:rsidR="00AA6330" w:rsidRDefault="00000000">
      <w:pPr>
        <w:spacing w:before="240" w:after="240"/>
      </w:pPr>
      <w:r>
        <w:t xml:space="preserve">“Jakmile investor pravidla poruší jen proto, že se mu byt zalíbil, riziko chyby roste. Nemovitosti zůstávají atraktivní součástí majetku, ale úspěšní investoři k nim přistupují bez romantiky. Nekupují sen o bydlení, nýbrž budoucí cash </w:t>
      </w:r>
      <w:proofErr w:type="spellStart"/>
      <w:r>
        <w:t>flow</w:t>
      </w:r>
      <w:proofErr w:type="spellEnd"/>
      <w:r>
        <w:t xml:space="preserve">, stabilitu a hodnotu v čase. A právě schopnost oddělit emoce od čísel často rozhoduje o tom, zda se z nákupu stane dobrá investice, nebo jen drahá radost,” dodává Pavel Janeček z </w:t>
      </w:r>
      <w:hyperlink r:id="rId6">
        <w:proofErr w:type="spellStart"/>
        <w:r>
          <w:rPr>
            <w:color w:val="96607D"/>
            <w:u w:val="single"/>
          </w:rPr>
          <w:t>Royal</w:t>
        </w:r>
        <w:proofErr w:type="spellEnd"/>
        <w:r>
          <w:rPr>
            <w:color w:val="96607D"/>
            <w:u w:val="single"/>
          </w:rPr>
          <w:t xml:space="preserve"> </w:t>
        </w:r>
        <w:proofErr w:type="spellStart"/>
        <w:r>
          <w:rPr>
            <w:color w:val="96607D"/>
            <w:u w:val="single"/>
          </w:rPr>
          <w:t>Bridge</w:t>
        </w:r>
        <w:proofErr w:type="spellEnd"/>
        <w:r>
          <w:rPr>
            <w:color w:val="96607D"/>
            <w:u w:val="single"/>
          </w:rPr>
          <w:t xml:space="preserve"> </w:t>
        </w:r>
        <w:proofErr w:type="spellStart"/>
        <w:r>
          <w:rPr>
            <w:color w:val="96607D"/>
            <w:u w:val="single"/>
          </w:rPr>
          <w:t>Partners</w:t>
        </w:r>
        <w:proofErr w:type="spellEnd"/>
        <w:r>
          <w:rPr>
            <w:color w:val="96607D"/>
            <w:u w:val="single"/>
          </w:rPr>
          <w:t>.</w:t>
        </w:r>
      </w:hyperlink>
    </w:p>
    <w:p w14:paraId="00000011" w14:textId="77777777" w:rsidR="00AA6330" w:rsidRDefault="00AA6330"/>
    <w:sectPr w:rsidR="00AA6330">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5303504D-4A25-C04C-95A0-7C8AC80F1C17}"/>
    <w:embedBold r:id="rId2" w:fontKey="{803AF047-61BE-0041-BEC0-CC23640FAF1F}"/>
    <w:embedItalic r:id="rId3" w:fontKey="{8E8103B4-507A-334B-B3FD-64FD261C926E}"/>
  </w:font>
  <w:font w:name="Times New Roman">
    <w:panose1 w:val="02020603050405020304"/>
    <w:charset w:val="00"/>
    <w:family w:val="roman"/>
    <w:pitch w:val="variable"/>
    <w:sig w:usb0="E0002EFF" w:usb1="C000785B" w:usb2="00000009" w:usb3="00000000" w:csb0="000001FF" w:csb1="00000000"/>
    <w:embedRegular r:id="rId4" w:fontKey="{9882E9A3-6767-4649-AE49-5E31AB6639B1}"/>
  </w:font>
  <w:font w:name="Calibri">
    <w:panose1 w:val="020F0502020204030204"/>
    <w:charset w:val="EE"/>
    <w:family w:val="swiss"/>
    <w:pitch w:val="variable"/>
    <w:sig w:usb0="E4002EFF" w:usb1="C200247B" w:usb2="00000009" w:usb3="00000000" w:csb0="000001FF" w:csb1="00000000"/>
    <w:embedRegular r:id="rId5" w:fontKey="{5925EDD8-36B0-D141-ADDA-61CF2A077F91}"/>
  </w:font>
  <w:font w:name="Cambria">
    <w:panose1 w:val="02040503050406030204"/>
    <w:charset w:val="00"/>
    <w:family w:val="roman"/>
    <w:notTrueType/>
    <w:pitch w:val="default"/>
    <w:embedRegular r:id="rId6" w:fontKey="{24F5F915-270B-8643-B8A0-B034E5908ED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330"/>
    <w:rsid w:val="002A33F2"/>
    <w:rsid w:val="005D1568"/>
    <w:rsid w:val="006C2565"/>
    <w:rsid w:val="006E1BF0"/>
    <w:rsid w:val="00AA6330"/>
    <w:rsid w:val="00C65C4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64272597"/>
  <w15:docId w15:val="{F1442605-159E-7849-9D36-5C80E8DFD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iCs/>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ev">
    <w:name w:val="Title"/>
    <w:basedOn w:val="Normln"/>
    <w:next w:val="Normln"/>
    <w:uiPriority w:val="10"/>
    <w:qFormat/>
    <w:pPr>
      <w:keepNext/>
      <w:keepLines/>
      <w:spacing w:after="60"/>
    </w:pPr>
    <w:rPr>
      <w:sz w:val="52"/>
      <w:szCs w:val="52"/>
    </w:rPr>
  </w:style>
  <w:style w:type="paragraph" w:styleId="Podnadpis">
    <w:name w:val="Subtitle"/>
    <w:basedOn w:val="Normln"/>
    <w:next w:val="Normln"/>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oyalbridgepartners.cz/" TargetMode="External"/><Relationship Id="rId5" Type="http://schemas.openxmlformats.org/officeDocument/2006/relationships/hyperlink" Target="https://www.royalbridgepartners.cz/" TargetMode="External"/><Relationship Id="rId4" Type="http://schemas.openxmlformats.org/officeDocument/2006/relationships/hyperlink" Target="https://www.royalbridgepartners.cz/"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549</Words>
  <Characters>3300</Characters>
  <Application>Microsoft Office Word</Application>
  <DocSecurity>0</DocSecurity>
  <Lines>52</Lines>
  <Paragraphs>18</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3831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7</cp:revision>
  <dcterms:created xsi:type="dcterms:W3CDTF">2026-04-28T06:40:00Z</dcterms:created>
  <dcterms:modified xsi:type="dcterms:W3CDTF">2026-04-28T06:51:00Z</dcterms:modified>
  <cp:category/>
</cp:coreProperties>
</file>