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82CF841" w14:textId="77777777" w:rsidR="00915E88" w:rsidRPr="00EA0939" w:rsidRDefault="00915E88" w:rsidP="00486550">
      <w:pPr>
        <w:spacing w:before="100" w:beforeAutospacing="1" w:after="100" w:afterAutospacing="1" w:line="240" w:lineRule="auto"/>
        <w:outlineLvl w:val="1"/>
        <w:rPr>
          <w:rFonts w:ascii="Arial" w:eastAsia="Times New Roman" w:hAnsi="Arial" w:cs="Arial"/>
          <w:b/>
          <w:bCs/>
          <w:color w:val="000000"/>
          <w:lang w:eastAsia="cs-CZ"/>
        </w:rPr>
      </w:pPr>
    </w:p>
    <w:p w14:paraId="7C71800D" w14:textId="77777777" w:rsidR="006D40A1" w:rsidRDefault="006D40A1" w:rsidP="00915E88">
      <w:pPr>
        <w:spacing w:before="100" w:beforeAutospacing="1" w:after="100" w:afterAutospacing="1" w:line="240" w:lineRule="auto"/>
        <w:jc w:val="center"/>
        <w:outlineLvl w:val="1"/>
        <w:rPr>
          <w:rFonts w:ascii="Arial" w:eastAsia="Times New Roman" w:hAnsi="Arial" w:cs="Arial"/>
          <w:b/>
          <w:bCs/>
          <w:color w:val="000000"/>
          <w:sz w:val="28"/>
          <w:szCs w:val="28"/>
          <w:lang w:eastAsia="cs-CZ"/>
        </w:rPr>
      </w:pPr>
    </w:p>
    <w:p w14:paraId="24DD85AA" w14:textId="0E4B0688" w:rsidR="006D40A1" w:rsidRPr="00EA0939" w:rsidRDefault="006D40A1" w:rsidP="00915E88">
      <w:pPr>
        <w:spacing w:before="100" w:beforeAutospacing="1" w:after="100" w:afterAutospacing="1" w:line="240" w:lineRule="auto"/>
        <w:jc w:val="center"/>
        <w:outlineLvl w:val="1"/>
        <w:rPr>
          <w:rFonts w:ascii="Arial" w:eastAsia="Times New Roman" w:hAnsi="Arial" w:cs="Arial"/>
          <w:b/>
          <w:bCs/>
          <w:color w:val="000000"/>
          <w:sz w:val="28"/>
          <w:szCs w:val="28"/>
          <w:lang w:eastAsia="cs-CZ"/>
        </w:rPr>
      </w:pPr>
      <w:r w:rsidRPr="006D40A1">
        <w:rPr>
          <w:rFonts w:ascii="Arial" w:eastAsia="Times New Roman" w:hAnsi="Arial" w:cs="Arial"/>
          <w:b/>
          <w:bCs/>
          <w:color w:val="000000"/>
          <w:sz w:val="28"/>
          <w:szCs w:val="28"/>
          <w:lang w:eastAsia="cs-CZ"/>
        </w:rPr>
        <w:t>Průměrná sazba hypoték stoupla o 0,02 bodu na 5,32 procenta</w:t>
      </w:r>
      <w:r>
        <w:rPr>
          <w:rFonts w:ascii="Arial" w:eastAsia="Times New Roman" w:hAnsi="Arial" w:cs="Arial"/>
          <w:b/>
          <w:bCs/>
          <w:color w:val="000000"/>
          <w:sz w:val="28"/>
          <w:szCs w:val="28"/>
          <w:lang w:eastAsia="cs-CZ"/>
        </w:rPr>
        <w:t xml:space="preserve">. </w:t>
      </w:r>
      <w:r>
        <w:rPr>
          <w:rFonts w:ascii="Arial" w:eastAsia="Times New Roman" w:hAnsi="Arial" w:cs="Arial"/>
          <w:b/>
          <w:bCs/>
          <w:color w:val="000000"/>
          <w:sz w:val="28"/>
          <w:szCs w:val="28"/>
          <w:lang w:eastAsia="cs-CZ"/>
        </w:rPr>
        <w:br/>
      </w:r>
      <w:r w:rsidRPr="006D40A1">
        <w:rPr>
          <w:rFonts w:ascii="Arial" w:eastAsia="Times New Roman" w:hAnsi="Arial" w:cs="Arial"/>
          <w:b/>
          <w:bCs/>
          <w:color w:val="000000"/>
          <w:sz w:val="28"/>
          <w:szCs w:val="28"/>
          <w:lang w:eastAsia="cs-CZ"/>
        </w:rPr>
        <w:t>Pro zájemce o vlastní bydlení je důležité počítat spíše se scénářem delší stability sazeb než s návratem výrazně levnějších hypoték.</w:t>
      </w:r>
    </w:p>
    <w:p w14:paraId="0471251D" w14:textId="6EB14236" w:rsidR="006D40A1" w:rsidRPr="006D40A1" w:rsidRDefault="00486550" w:rsidP="006D40A1">
      <w:pPr>
        <w:spacing w:before="100" w:beforeAutospacing="1" w:after="100" w:afterAutospacing="1" w:line="240" w:lineRule="auto"/>
        <w:rPr>
          <w:rFonts w:ascii="Arial" w:hAnsi="Arial" w:cs="Arial"/>
          <w:b/>
          <w:bCs/>
        </w:rPr>
      </w:pPr>
      <w:r w:rsidRPr="00EA0939">
        <w:rPr>
          <w:rFonts w:ascii="Arial" w:eastAsia="Times New Roman" w:hAnsi="Arial" w:cs="Arial"/>
          <w:b/>
          <w:bCs/>
          <w:color w:val="000000"/>
          <w:lang w:eastAsia="cs-CZ"/>
        </w:rPr>
        <w:t xml:space="preserve">Praha, </w:t>
      </w:r>
      <w:r w:rsidR="006D40A1">
        <w:rPr>
          <w:rFonts w:ascii="Arial" w:eastAsia="Times New Roman" w:hAnsi="Arial" w:cs="Arial"/>
          <w:b/>
          <w:bCs/>
          <w:color w:val="000000"/>
          <w:lang w:eastAsia="cs-CZ"/>
        </w:rPr>
        <w:t>13</w:t>
      </w:r>
      <w:r w:rsidRPr="00EA0939">
        <w:rPr>
          <w:rFonts w:ascii="Arial" w:eastAsia="Times New Roman" w:hAnsi="Arial" w:cs="Arial"/>
          <w:b/>
          <w:bCs/>
          <w:color w:val="000000"/>
          <w:lang w:eastAsia="cs-CZ"/>
        </w:rPr>
        <w:t xml:space="preserve">. </w:t>
      </w:r>
      <w:r w:rsidR="00EA0939" w:rsidRPr="00EA0939">
        <w:rPr>
          <w:rFonts w:ascii="Arial" w:eastAsia="Times New Roman" w:hAnsi="Arial" w:cs="Arial"/>
          <w:b/>
          <w:bCs/>
          <w:color w:val="000000"/>
          <w:lang w:eastAsia="cs-CZ"/>
        </w:rPr>
        <w:t>červ</w:t>
      </w:r>
      <w:r w:rsidR="006D40A1">
        <w:rPr>
          <w:rFonts w:ascii="Arial" w:eastAsia="Times New Roman" w:hAnsi="Arial" w:cs="Arial"/>
          <w:b/>
          <w:bCs/>
          <w:color w:val="000000"/>
          <w:lang w:eastAsia="cs-CZ"/>
        </w:rPr>
        <w:t>ence</w:t>
      </w:r>
      <w:r w:rsidRPr="00EA0939">
        <w:rPr>
          <w:rFonts w:ascii="Arial" w:eastAsia="Times New Roman" w:hAnsi="Arial" w:cs="Arial"/>
          <w:b/>
          <w:bCs/>
          <w:color w:val="000000"/>
          <w:lang w:eastAsia="cs-CZ"/>
        </w:rPr>
        <w:t xml:space="preserve"> 202</w:t>
      </w:r>
      <w:r w:rsidR="00EA0939" w:rsidRPr="00EA0939">
        <w:rPr>
          <w:rFonts w:ascii="Arial" w:eastAsia="Times New Roman" w:hAnsi="Arial" w:cs="Arial"/>
          <w:b/>
          <w:bCs/>
          <w:color w:val="000000"/>
          <w:lang w:eastAsia="cs-CZ"/>
        </w:rPr>
        <w:t>6</w:t>
      </w:r>
      <w:r w:rsidR="006D40A1">
        <w:rPr>
          <w:rFonts w:ascii="Arial" w:eastAsia="Times New Roman" w:hAnsi="Arial" w:cs="Arial"/>
          <w:color w:val="000000"/>
          <w:lang w:eastAsia="cs-CZ"/>
        </w:rPr>
        <w:t xml:space="preserve"> - </w:t>
      </w:r>
      <w:r w:rsidR="006D40A1" w:rsidRPr="006D40A1">
        <w:rPr>
          <w:rFonts w:ascii="Arial" w:hAnsi="Arial" w:cs="Arial"/>
          <w:b/>
          <w:bCs/>
        </w:rPr>
        <w:t xml:space="preserve">Průměrná sazba hypoték počátkem července meziměsíčně stoupla o </w:t>
      </w:r>
      <w:proofErr w:type="gramStart"/>
      <w:r w:rsidR="006D40A1" w:rsidRPr="006D40A1">
        <w:rPr>
          <w:rFonts w:ascii="Arial" w:hAnsi="Arial" w:cs="Arial"/>
          <w:b/>
          <w:bCs/>
        </w:rPr>
        <w:t>0,02 procentního</w:t>
      </w:r>
      <w:proofErr w:type="gramEnd"/>
      <w:r w:rsidR="006D40A1" w:rsidRPr="006D40A1">
        <w:rPr>
          <w:rFonts w:ascii="Arial" w:hAnsi="Arial" w:cs="Arial"/>
          <w:b/>
          <w:bCs/>
        </w:rPr>
        <w:t xml:space="preserve"> bodu na 5,32 procenta. Stoupla počtvrté v řadě a vrátila se na hodnotu z listopadu 2024. Vyplývá to z údajů </w:t>
      </w:r>
      <w:proofErr w:type="spellStart"/>
      <w:r w:rsidR="006D40A1" w:rsidRPr="006D40A1">
        <w:rPr>
          <w:rFonts w:ascii="Arial" w:hAnsi="Arial" w:cs="Arial"/>
          <w:b/>
          <w:bCs/>
        </w:rPr>
        <w:t>Swiss</w:t>
      </w:r>
      <w:proofErr w:type="spellEnd"/>
      <w:r w:rsidR="006D40A1" w:rsidRPr="006D40A1">
        <w:rPr>
          <w:rFonts w:ascii="Arial" w:hAnsi="Arial" w:cs="Arial"/>
          <w:b/>
          <w:bCs/>
        </w:rPr>
        <w:t xml:space="preserve"> </w:t>
      </w:r>
      <w:proofErr w:type="spellStart"/>
      <w:r w:rsidR="006D40A1" w:rsidRPr="006D40A1">
        <w:rPr>
          <w:rFonts w:ascii="Arial" w:hAnsi="Arial" w:cs="Arial"/>
          <w:b/>
          <w:bCs/>
        </w:rPr>
        <w:t>Life</w:t>
      </w:r>
      <w:proofErr w:type="spellEnd"/>
      <w:r w:rsidR="006D40A1" w:rsidRPr="006D40A1">
        <w:rPr>
          <w:rFonts w:ascii="Arial" w:hAnsi="Arial" w:cs="Arial"/>
          <w:b/>
          <w:bCs/>
        </w:rPr>
        <w:t xml:space="preserve"> </w:t>
      </w:r>
      <w:proofErr w:type="spellStart"/>
      <w:r w:rsidR="006D40A1" w:rsidRPr="006D40A1">
        <w:rPr>
          <w:rFonts w:ascii="Arial" w:hAnsi="Arial" w:cs="Arial"/>
          <w:b/>
          <w:bCs/>
        </w:rPr>
        <w:t>Hypoindexu</w:t>
      </w:r>
      <w:proofErr w:type="spellEnd"/>
      <w:r w:rsidR="006D40A1" w:rsidRPr="006D40A1">
        <w:rPr>
          <w:rFonts w:ascii="Arial" w:hAnsi="Arial" w:cs="Arial"/>
          <w:b/>
          <w:bCs/>
        </w:rPr>
        <w:t>, který se zpracovává na základě nabídkových sazeb na začátku každého měsíce. Metodika odráží aktuální průměrnou nabídkovou sazbu hypotečního úvěru pro 80 procent hodnoty nemovitosti.</w:t>
      </w:r>
    </w:p>
    <w:p w14:paraId="43E93581" w14:textId="77777777" w:rsidR="006D40A1" w:rsidRPr="006D40A1" w:rsidRDefault="006D40A1" w:rsidP="006D40A1">
      <w:pPr>
        <w:pStyle w:val="Normlnweb"/>
        <w:rPr>
          <w:rFonts w:ascii="Arial" w:hAnsi="Arial" w:cs="Arial"/>
          <w:color w:val="000000"/>
          <w:sz w:val="22"/>
          <w:szCs w:val="22"/>
        </w:rPr>
      </w:pPr>
      <w:r w:rsidRPr="006D40A1">
        <w:rPr>
          <w:rFonts w:ascii="Arial" w:hAnsi="Arial" w:cs="Arial"/>
          <w:color w:val="000000"/>
          <w:sz w:val="22"/>
          <w:szCs w:val="22"/>
        </w:rPr>
        <w:t xml:space="preserve">Český hypoteční trh zažil v červenci další nepříjemné překvapení. Hypotéky se vrátily na úroveň z listopadu 2024 a jarní naděje na trvalejší návrat sazeb pod pětiprocentní hranici se rychle rozplynula,“ uvedl analytik </w:t>
      </w:r>
      <w:proofErr w:type="spellStart"/>
      <w:r w:rsidRPr="006D40A1">
        <w:rPr>
          <w:rFonts w:ascii="Arial" w:hAnsi="Arial" w:cs="Arial"/>
          <w:color w:val="000000"/>
          <w:sz w:val="22"/>
          <w:szCs w:val="22"/>
        </w:rPr>
        <w:t>Swiss</w:t>
      </w:r>
      <w:proofErr w:type="spellEnd"/>
      <w:r w:rsidRPr="006D40A1">
        <w:rPr>
          <w:rFonts w:ascii="Arial" w:hAnsi="Arial" w:cs="Arial"/>
          <w:color w:val="000000"/>
          <w:sz w:val="22"/>
          <w:szCs w:val="22"/>
        </w:rPr>
        <w:t xml:space="preserve"> </w:t>
      </w:r>
      <w:proofErr w:type="spellStart"/>
      <w:r w:rsidRPr="006D40A1">
        <w:rPr>
          <w:rFonts w:ascii="Arial" w:hAnsi="Arial" w:cs="Arial"/>
          <w:color w:val="000000"/>
          <w:sz w:val="22"/>
          <w:szCs w:val="22"/>
        </w:rPr>
        <w:t>Life</w:t>
      </w:r>
      <w:proofErr w:type="spellEnd"/>
      <w:r w:rsidRPr="006D40A1">
        <w:rPr>
          <w:rFonts w:ascii="Arial" w:hAnsi="Arial" w:cs="Arial"/>
          <w:color w:val="000000"/>
          <w:sz w:val="22"/>
          <w:szCs w:val="22"/>
        </w:rPr>
        <w:t xml:space="preserve"> </w:t>
      </w:r>
      <w:proofErr w:type="spellStart"/>
      <w:r w:rsidRPr="006D40A1">
        <w:rPr>
          <w:rFonts w:ascii="Arial" w:hAnsi="Arial" w:cs="Arial"/>
          <w:color w:val="000000"/>
          <w:sz w:val="22"/>
          <w:szCs w:val="22"/>
        </w:rPr>
        <w:t>Select</w:t>
      </w:r>
      <w:proofErr w:type="spellEnd"/>
      <w:r w:rsidRPr="006D40A1">
        <w:rPr>
          <w:rFonts w:ascii="Arial" w:hAnsi="Arial" w:cs="Arial"/>
          <w:color w:val="000000"/>
          <w:sz w:val="22"/>
          <w:szCs w:val="22"/>
        </w:rPr>
        <w:t xml:space="preserve"> Jiří Sýkora.</w:t>
      </w:r>
    </w:p>
    <w:p w14:paraId="22393EC8" w14:textId="676726E1" w:rsidR="006D40A1" w:rsidRPr="006D40A1" w:rsidRDefault="006D40A1" w:rsidP="006D40A1">
      <w:pPr>
        <w:pStyle w:val="Normlnweb"/>
        <w:rPr>
          <w:rFonts w:ascii="Arial" w:hAnsi="Arial" w:cs="Arial"/>
          <w:color w:val="000000"/>
          <w:sz w:val="22"/>
          <w:szCs w:val="22"/>
        </w:rPr>
      </w:pPr>
      <w:r w:rsidRPr="006D40A1">
        <w:rPr>
          <w:rFonts w:ascii="Arial" w:hAnsi="Arial" w:cs="Arial"/>
          <w:color w:val="000000"/>
          <w:sz w:val="22"/>
          <w:szCs w:val="22"/>
        </w:rPr>
        <w:t>Nejvýhodnější zůstávají podle dat hypotéky s tříletou fixací, kde se průměrná nabídková sazba pohybuje kolem 5,02 procenta. Nejdráže naopak vycházejí desetileté fixace s průměrnou sazbou 5,86 procenta. Rozdíl mezi krátkým a dlouhým závazkem tak zůstává výrazný.</w:t>
      </w:r>
      <w:r>
        <w:rPr>
          <w:rFonts w:ascii="Arial" w:hAnsi="Arial" w:cs="Arial"/>
          <w:color w:val="000000"/>
          <w:sz w:val="22"/>
          <w:szCs w:val="22"/>
        </w:rPr>
        <w:t xml:space="preserve"> </w:t>
      </w:r>
      <w:r w:rsidRPr="006D40A1">
        <w:rPr>
          <w:rFonts w:ascii="Arial" w:hAnsi="Arial" w:cs="Arial"/>
          <w:color w:val="000000"/>
          <w:sz w:val="22"/>
          <w:szCs w:val="22"/>
        </w:rPr>
        <w:t>Banky při stanovování úrokových sazeb sledují především vývoj dlouhodobých tržních sazeb, zejména úrokových swapů. Ty odrážejí očekávání finančních trhů ohledně budoucí inflace, ekonomického růstu i měnové politiky a představují skutečné náklady bank na dlouhodobé financování hypoték, dodal Sýkora.</w:t>
      </w:r>
    </w:p>
    <w:p w14:paraId="35D1917F" w14:textId="77777777" w:rsidR="006D40A1" w:rsidRPr="006D40A1" w:rsidRDefault="006D40A1" w:rsidP="006D40A1">
      <w:pPr>
        <w:pStyle w:val="Normlnweb"/>
        <w:rPr>
          <w:rFonts w:ascii="Arial" w:hAnsi="Arial" w:cs="Arial"/>
          <w:color w:val="000000"/>
          <w:sz w:val="22"/>
          <w:szCs w:val="22"/>
        </w:rPr>
      </w:pPr>
      <w:r w:rsidRPr="006D40A1">
        <w:rPr>
          <w:rFonts w:ascii="Arial" w:hAnsi="Arial" w:cs="Arial"/>
          <w:color w:val="000000"/>
          <w:sz w:val="22"/>
          <w:szCs w:val="22"/>
        </w:rPr>
        <w:t xml:space="preserve">"I když hypoteční sazby i v červenci mírně vzrostly, u části bank už ale bylo patrné spíše zastavení zdražování než další tlak na růst. Díky prozatímnímu uklidnění situace na Blízkém východě částečně polevily obavy z návratu vyšší inflace. To se pozitivně promítlo do vývoje delších úrokových swapů, od nichž se hypoteční sazby odvíjejí. Nenaplnily se ani scénáře, podle kterých mělo červnové zvýšení základní úrokové sazby ČNB vést k dalšímu zdražení hypoték," doplnil vedoucí produktového oddělení </w:t>
      </w:r>
      <w:proofErr w:type="spellStart"/>
      <w:r w:rsidRPr="006D40A1">
        <w:rPr>
          <w:rFonts w:ascii="Arial" w:hAnsi="Arial" w:cs="Arial"/>
          <w:color w:val="000000"/>
          <w:sz w:val="22"/>
          <w:szCs w:val="22"/>
        </w:rPr>
        <w:t>Swiss</w:t>
      </w:r>
      <w:proofErr w:type="spellEnd"/>
      <w:r w:rsidRPr="006D40A1">
        <w:rPr>
          <w:rFonts w:ascii="Arial" w:hAnsi="Arial" w:cs="Arial"/>
          <w:color w:val="000000"/>
          <w:sz w:val="22"/>
          <w:szCs w:val="22"/>
        </w:rPr>
        <w:t xml:space="preserve"> </w:t>
      </w:r>
      <w:proofErr w:type="spellStart"/>
      <w:r w:rsidRPr="006D40A1">
        <w:rPr>
          <w:rFonts w:ascii="Arial" w:hAnsi="Arial" w:cs="Arial"/>
          <w:color w:val="000000"/>
          <w:sz w:val="22"/>
          <w:szCs w:val="22"/>
        </w:rPr>
        <w:t>Life</w:t>
      </w:r>
      <w:proofErr w:type="spellEnd"/>
      <w:r w:rsidRPr="006D40A1">
        <w:rPr>
          <w:rFonts w:ascii="Arial" w:hAnsi="Arial" w:cs="Arial"/>
          <w:color w:val="000000"/>
          <w:sz w:val="22"/>
          <w:szCs w:val="22"/>
        </w:rPr>
        <w:t xml:space="preserve"> </w:t>
      </w:r>
      <w:proofErr w:type="spellStart"/>
      <w:r w:rsidRPr="006D40A1">
        <w:rPr>
          <w:rFonts w:ascii="Arial" w:hAnsi="Arial" w:cs="Arial"/>
          <w:color w:val="000000"/>
          <w:sz w:val="22"/>
          <w:szCs w:val="22"/>
        </w:rPr>
        <w:t>Select</w:t>
      </w:r>
      <w:proofErr w:type="spellEnd"/>
      <w:r w:rsidRPr="006D40A1">
        <w:rPr>
          <w:rFonts w:ascii="Arial" w:hAnsi="Arial" w:cs="Arial"/>
          <w:color w:val="000000"/>
          <w:sz w:val="22"/>
          <w:szCs w:val="22"/>
        </w:rPr>
        <w:t xml:space="preserve"> Tom Kadeřábek.</w:t>
      </w:r>
    </w:p>
    <w:p w14:paraId="55C86C67" w14:textId="77777777" w:rsidR="006D40A1" w:rsidRDefault="006D40A1" w:rsidP="006D40A1">
      <w:pPr>
        <w:pStyle w:val="Normlnweb"/>
        <w:rPr>
          <w:rFonts w:ascii="Arial" w:hAnsi="Arial" w:cs="Arial"/>
          <w:color w:val="000000"/>
          <w:sz w:val="22"/>
          <w:szCs w:val="22"/>
        </w:rPr>
      </w:pPr>
      <w:r w:rsidRPr="006D40A1">
        <w:rPr>
          <w:rFonts w:ascii="Arial" w:hAnsi="Arial" w:cs="Arial"/>
          <w:color w:val="000000"/>
          <w:sz w:val="22"/>
          <w:szCs w:val="22"/>
        </w:rPr>
        <w:t>V dalších měsících proto očekává spíše stagnaci hypotečních sazeb s možností jejich mírného poklesu. Banky ale se zlevňováním pravděpodobně nebudou spěchat. Budou čekat na další ekonomická data a potvrzení, že se inflační rizika skutečně podařilo dostat pod kontrolu. Zkušenost navíc ukazuje, že komerční banky sazby zpravidla snižují pomaleji, než je zvyšují, podotkl.</w:t>
      </w:r>
    </w:p>
    <w:p w14:paraId="065BD4E2" w14:textId="6F463ADD" w:rsidR="00EF44D1" w:rsidRPr="006D40A1" w:rsidRDefault="006D40A1" w:rsidP="00193096">
      <w:pPr>
        <w:pStyle w:val="Normlnweb"/>
        <w:rPr>
          <w:rFonts w:ascii="Arial" w:hAnsi="Arial" w:cs="Arial"/>
          <w:b/>
          <w:bCs/>
          <w:color w:val="000000"/>
          <w:sz w:val="22"/>
          <w:szCs w:val="22"/>
        </w:rPr>
      </w:pPr>
      <w:r w:rsidRPr="006D40A1">
        <w:rPr>
          <w:rFonts w:ascii="Arial" w:hAnsi="Arial" w:cs="Arial"/>
          <w:b/>
          <w:bCs/>
          <w:color w:val="000000"/>
          <w:sz w:val="22"/>
          <w:szCs w:val="22"/>
        </w:rPr>
        <w:t>Komentář Pavla Janečka z </w:t>
      </w:r>
      <w:proofErr w:type="spellStart"/>
      <w:r w:rsidRPr="006D40A1">
        <w:rPr>
          <w:rFonts w:ascii="Arial" w:hAnsi="Arial" w:cs="Arial"/>
          <w:b/>
          <w:bCs/>
          <w:color w:val="000000"/>
          <w:sz w:val="22"/>
          <w:szCs w:val="22"/>
        </w:rPr>
        <w:t>Royal</w:t>
      </w:r>
      <w:proofErr w:type="spellEnd"/>
      <w:r w:rsidRPr="006D40A1">
        <w:rPr>
          <w:rFonts w:ascii="Arial" w:hAnsi="Arial" w:cs="Arial"/>
          <w:b/>
          <w:bCs/>
          <w:color w:val="000000"/>
          <w:sz w:val="22"/>
          <w:szCs w:val="22"/>
        </w:rPr>
        <w:t xml:space="preserve"> </w:t>
      </w:r>
      <w:proofErr w:type="spellStart"/>
      <w:r w:rsidRPr="006D40A1">
        <w:rPr>
          <w:rFonts w:ascii="Arial" w:hAnsi="Arial" w:cs="Arial"/>
          <w:b/>
          <w:bCs/>
          <w:color w:val="000000"/>
          <w:sz w:val="22"/>
          <w:szCs w:val="22"/>
        </w:rPr>
        <w:t>Bridge</w:t>
      </w:r>
      <w:proofErr w:type="spellEnd"/>
      <w:r w:rsidRPr="006D40A1">
        <w:rPr>
          <w:rFonts w:ascii="Arial" w:hAnsi="Arial" w:cs="Arial"/>
          <w:b/>
          <w:bCs/>
          <w:color w:val="000000"/>
          <w:sz w:val="22"/>
          <w:szCs w:val="22"/>
        </w:rPr>
        <w:t xml:space="preserve"> </w:t>
      </w:r>
      <w:proofErr w:type="spellStart"/>
      <w:r w:rsidRPr="006D40A1">
        <w:rPr>
          <w:rFonts w:ascii="Arial" w:hAnsi="Arial" w:cs="Arial"/>
          <w:b/>
          <w:bCs/>
          <w:color w:val="000000"/>
          <w:sz w:val="22"/>
          <w:szCs w:val="22"/>
        </w:rPr>
        <w:t>Partners</w:t>
      </w:r>
      <w:proofErr w:type="spellEnd"/>
      <w:r>
        <w:rPr>
          <w:rFonts w:ascii="Arial" w:hAnsi="Arial" w:cs="Arial"/>
          <w:b/>
          <w:bCs/>
          <w:color w:val="000000"/>
          <w:sz w:val="22"/>
          <w:szCs w:val="22"/>
        </w:rPr>
        <w:br/>
        <w:t>„</w:t>
      </w:r>
      <w:r w:rsidRPr="006D40A1">
        <w:rPr>
          <w:rFonts w:ascii="Arial" w:hAnsi="Arial" w:cs="Arial"/>
          <w:color w:val="000000"/>
          <w:sz w:val="22"/>
          <w:szCs w:val="22"/>
        </w:rPr>
        <w:t>Současný vývoj potvrzuje, že období rychlého zlevňování hypoték se minimálně na čas zastavilo. Trh dnes mnohem více reaguje na vývoj dlouhodobých tržních sazeb než na jednotlivé kroky České národní banky, a proto nelze očekávat, že by se hypoteční úroky v nejbližších měsících výrazně propadly. Pro zájemce o vlastní bydlení je důležité počítat spíše se scénářem delší stability sazeb než s návratem výrazně levnějších hypoték.</w:t>
      </w:r>
      <w:r>
        <w:rPr>
          <w:rFonts w:ascii="Arial" w:hAnsi="Arial" w:cs="Arial"/>
          <w:color w:val="000000"/>
          <w:sz w:val="22"/>
          <w:szCs w:val="22"/>
        </w:rPr>
        <w:t xml:space="preserve"> </w:t>
      </w:r>
      <w:proofErr w:type="gramStart"/>
      <w:r w:rsidRPr="006D40A1">
        <w:rPr>
          <w:rFonts w:ascii="Arial" w:hAnsi="Arial" w:cs="Arial"/>
          <w:color w:val="000000"/>
          <w:sz w:val="22"/>
          <w:szCs w:val="22"/>
        </w:rPr>
        <w:t>Pro</w:t>
      </w:r>
      <w:proofErr w:type="gramEnd"/>
      <w:r w:rsidRPr="006D40A1">
        <w:rPr>
          <w:rFonts w:ascii="Arial" w:hAnsi="Arial" w:cs="Arial"/>
          <w:color w:val="000000"/>
          <w:sz w:val="22"/>
          <w:szCs w:val="22"/>
        </w:rPr>
        <w:t xml:space="preserve"> klienty proto není nejdůležitější snaha trefit ideální okamžik na trhu, ale správně nastavit financování podle vlastní finanční situace. Pokud dnes našli vhodnou nemovitost a hypotéka odpovídá jejich dlouhodobému rozpočtu, nedává příliš smysl nákup odkládat v očekávání výrazně nižších sazeb. Naopak je vhodné zaměřit se na kvalitně nastavenou strukturu úvěru, délku fixace i možnost budoucího refinancování, pokud by se tržní podmínky v dalších letech skutečně zlepšily</w:t>
      </w:r>
      <w:r>
        <w:rPr>
          <w:rFonts w:ascii="Arial" w:hAnsi="Arial" w:cs="Arial"/>
          <w:color w:val="000000"/>
          <w:sz w:val="22"/>
          <w:szCs w:val="22"/>
        </w:rPr>
        <w:t xml:space="preserve">,“ </w:t>
      </w:r>
      <w:r>
        <w:rPr>
          <w:rFonts w:ascii="Arial" w:hAnsi="Arial" w:cs="Arial"/>
          <w:sz w:val="22"/>
          <w:szCs w:val="22"/>
        </w:rPr>
        <w:t>komentuje</w:t>
      </w:r>
      <w:r w:rsidR="00270D38" w:rsidRPr="00EA0939">
        <w:rPr>
          <w:rFonts w:ascii="Arial" w:hAnsi="Arial" w:cs="Arial"/>
          <w:sz w:val="22"/>
          <w:szCs w:val="22"/>
        </w:rPr>
        <w:t xml:space="preserve"> Pavel Janeček z </w:t>
      </w:r>
      <w:hyperlink r:id="rId6" w:history="1">
        <w:proofErr w:type="spellStart"/>
        <w:r w:rsidR="00270D38" w:rsidRPr="00EA0939">
          <w:rPr>
            <w:rStyle w:val="Hypertextovodkaz"/>
            <w:rFonts w:ascii="Arial" w:hAnsi="Arial" w:cs="Arial"/>
            <w:sz w:val="22"/>
            <w:szCs w:val="22"/>
          </w:rPr>
          <w:t>Royal</w:t>
        </w:r>
        <w:proofErr w:type="spellEnd"/>
        <w:r w:rsidR="00270D38" w:rsidRPr="00EA0939">
          <w:rPr>
            <w:rStyle w:val="Hypertextovodkaz"/>
            <w:rFonts w:ascii="Arial" w:hAnsi="Arial" w:cs="Arial"/>
            <w:sz w:val="22"/>
            <w:szCs w:val="22"/>
          </w:rPr>
          <w:t xml:space="preserve"> </w:t>
        </w:r>
        <w:proofErr w:type="spellStart"/>
        <w:r w:rsidR="00270D38" w:rsidRPr="00EA0939">
          <w:rPr>
            <w:rStyle w:val="Hypertextovodkaz"/>
            <w:rFonts w:ascii="Arial" w:hAnsi="Arial" w:cs="Arial"/>
            <w:sz w:val="22"/>
            <w:szCs w:val="22"/>
          </w:rPr>
          <w:t>Bridge</w:t>
        </w:r>
        <w:proofErr w:type="spellEnd"/>
        <w:r w:rsidR="00270D38" w:rsidRPr="00EA0939">
          <w:rPr>
            <w:rStyle w:val="Hypertextovodkaz"/>
            <w:rFonts w:ascii="Arial" w:hAnsi="Arial" w:cs="Arial"/>
            <w:sz w:val="22"/>
            <w:szCs w:val="22"/>
          </w:rPr>
          <w:t xml:space="preserve"> </w:t>
        </w:r>
        <w:proofErr w:type="spellStart"/>
        <w:r w:rsidR="00270D38" w:rsidRPr="00EA0939">
          <w:rPr>
            <w:rStyle w:val="Hypertextovodkaz"/>
            <w:rFonts w:ascii="Arial" w:hAnsi="Arial" w:cs="Arial"/>
            <w:sz w:val="22"/>
            <w:szCs w:val="22"/>
          </w:rPr>
          <w:t>Partners</w:t>
        </w:r>
        <w:proofErr w:type="spellEnd"/>
        <w:r w:rsidR="00270D38" w:rsidRPr="00EA0939">
          <w:rPr>
            <w:rStyle w:val="Hypertextovodkaz"/>
            <w:rFonts w:ascii="Arial" w:hAnsi="Arial" w:cs="Arial"/>
            <w:sz w:val="22"/>
            <w:szCs w:val="22"/>
          </w:rPr>
          <w:t>.</w:t>
        </w:r>
      </w:hyperlink>
    </w:p>
    <w:sectPr w:rsidR="00EF44D1" w:rsidRPr="006D40A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altName w:val="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1D"/>
    <w:multiLevelType w:val="multilevel"/>
    <w:tmpl w:val="7F94C61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D9F0505"/>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42230B7"/>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9FD142C"/>
    <w:multiLevelType w:val="hybridMultilevel"/>
    <w:tmpl w:val="2E5CD110"/>
    <w:lvl w:ilvl="0" w:tplc="79D200AC">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5B093C9D"/>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5537AE0"/>
    <w:multiLevelType w:val="hybridMultilevel"/>
    <w:tmpl w:val="75E089EE"/>
    <w:lvl w:ilvl="0" w:tplc="C414B69E">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6E992059"/>
    <w:multiLevelType w:val="hybridMultilevel"/>
    <w:tmpl w:val="D91A53E6"/>
    <w:lvl w:ilvl="0" w:tplc="FFFFFFFF">
      <w:start w:val="1"/>
      <w:numFmt w:val="decimal"/>
      <w:lvlText w:val="%1."/>
      <w:lvlJc w:val="left"/>
      <w:pPr>
        <w:ind w:left="720" w:hanging="360"/>
      </w:pPr>
      <w:rPr>
        <w:rFonts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BB23B68"/>
    <w:multiLevelType w:val="hybridMultilevel"/>
    <w:tmpl w:val="D91A53E6"/>
    <w:lvl w:ilvl="0" w:tplc="22C08B2E">
      <w:start w:val="1"/>
      <w:numFmt w:val="decimal"/>
      <w:lvlText w:val="%1."/>
      <w:lvlJc w:val="left"/>
      <w:pPr>
        <w:ind w:left="720" w:hanging="360"/>
      </w:pPr>
      <w:rPr>
        <w:rFonts w:cs="Times New Roman"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695035189">
    <w:abstractNumId w:val="2"/>
  </w:num>
  <w:num w:numId="2" w16cid:durableId="1608195187">
    <w:abstractNumId w:val="7"/>
  </w:num>
  <w:num w:numId="3" w16cid:durableId="396169062">
    <w:abstractNumId w:val="0"/>
  </w:num>
  <w:num w:numId="4" w16cid:durableId="2035887508">
    <w:abstractNumId w:val="6"/>
  </w:num>
  <w:num w:numId="5" w16cid:durableId="1345790952">
    <w:abstractNumId w:val="4"/>
  </w:num>
  <w:num w:numId="6" w16cid:durableId="1077165817">
    <w:abstractNumId w:val="1"/>
  </w:num>
  <w:num w:numId="7" w16cid:durableId="267086218">
    <w:abstractNumId w:val="5"/>
  </w:num>
  <w:num w:numId="8" w16cid:durableId="41821500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06C"/>
    <w:rsid w:val="0000456F"/>
    <w:rsid w:val="00004AC4"/>
    <w:rsid w:val="00005DD1"/>
    <w:rsid w:val="00007EE1"/>
    <w:rsid w:val="00033790"/>
    <w:rsid w:val="000452D2"/>
    <w:rsid w:val="00046DB0"/>
    <w:rsid w:val="00057C46"/>
    <w:rsid w:val="00084716"/>
    <w:rsid w:val="00096DEC"/>
    <w:rsid w:val="000A3BF8"/>
    <w:rsid w:val="000D29CD"/>
    <w:rsid w:val="000E572A"/>
    <w:rsid w:val="0013282A"/>
    <w:rsid w:val="00170450"/>
    <w:rsid w:val="00193096"/>
    <w:rsid w:val="001951B3"/>
    <w:rsid w:val="001B3E7F"/>
    <w:rsid w:val="001C0E62"/>
    <w:rsid w:val="001D67F7"/>
    <w:rsid w:val="001F5998"/>
    <w:rsid w:val="001F5C32"/>
    <w:rsid w:val="00232EFA"/>
    <w:rsid w:val="002446E7"/>
    <w:rsid w:val="00254D73"/>
    <w:rsid w:val="00270894"/>
    <w:rsid w:val="00270D38"/>
    <w:rsid w:val="002817E3"/>
    <w:rsid w:val="002B6813"/>
    <w:rsid w:val="002E0F98"/>
    <w:rsid w:val="002F1535"/>
    <w:rsid w:val="002F4FFC"/>
    <w:rsid w:val="00302D8E"/>
    <w:rsid w:val="003103E6"/>
    <w:rsid w:val="00315252"/>
    <w:rsid w:val="00344EA4"/>
    <w:rsid w:val="00365A93"/>
    <w:rsid w:val="00394B22"/>
    <w:rsid w:val="003A11C4"/>
    <w:rsid w:val="003A33E0"/>
    <w:rsid w:val="003A7572"/>
    <w:rsid w:val="003A7E18"/>
    <w:rsid w:val="003B4591"/>
    <w:rsid w:val="003F2AB4"/>
    <w:rsid w:val="00404C60"/>
    <w:rsid w:val="004236C1"/>
    <w:rsid w:val="0043008D"/>
    <w:rsid w:val="004526A2"/>
    <w:rsid w:val="004534A6"/>
    <w:rsid w:val="00480781"/>
    <w:rsid w:val="00486550"/>
    <w:rsid w:val="00486CB7"/>
    <w:rsid w:val="004929E3"/>
    <w:rsid w:val="004977D3"/>
    <w:rsid w:val="004B1B38"/>
    <w:rsid w:val="004D201C"/>
    <w:rsid w:val="004F226F"/>
    <w:rsid w:val="004F680F"/>
    <w:rsid w:val="004F7A92"/>
    <w:rsid w:val="0053315D"/>
    <w:rsid w:val="00545931"/>
    <w:rsid w:val="00545DBA"/>
    <w:rsid w:val="00563DAA"/>
    <w:rsid w:val="00573CC3"/>
    <w:rsid w:val="005876D1"/>
    <w:rsid w:val="005A38DD"/>
    <w:rsid w:val="005E3934"/>
    <w:rsid w:val="00603B6A"/>
    <w:rsid w:val="00607CD5"/>
    <w:rsid w:val="00616D95"/>
    <w:rsid w:val="00647DB1"/>
    <w:rsid w:val="0066143B"/>
    <w:rsid w:val="00694468"/>
    <w:rsid w:val="006A7375"/>
    <w:rsid w:val="006D40A1"/>
    <w:rsid w:val="00701FFE"/>
    <w:rsid w:val="00712A33"/>
    <w:rsid w:val="00743DC3"/>
    <w:rsid w:val="00745618"/>
    <w:rsid w:val="00755A9C"/>
    <w:rsid w:val="007562EF"/>
    <w:rsid w:val="00762D5F"/>
    <w:rsid w:val="0077521D"/>
    <w:rsid w:val="007801B0"/>
    <w:rsid w:val="00791D78"/>
    <w:rsid w:val="007A0EFD"/>
    <w:rsid w:val="007C1B27"/>
    <w:rsid w:val="00817942"/>
    <w:rsid w:val="008309F2"/>
    <w:rsid w:val="008850F7"/>
    <w:rsid w:val="008863EF"/>
    <w:rsid w:val="00887CBF"/>
    <w:rsid w:val="00893E07"/>
    <w:rsid w:val="008E000C"/>
    <w:rsid w:val="008E03BD"/>
    <w:rsid w:val="00906E5F"/>
    <w:rsid w:val="00915E88"/>
    <w:rsid w:val="00944A12"/>
    <w:rsid w:val="00957E5B"/>
    <w:rsid w:val="00982B46"/>
    <w:rsid w:val="00983C23"/>
    <w:rsid w:val="009A43DB"/>
    <w:rsid w:val="009B0049"/>
    <w:rsid w:val="009C658F"/>
    <w:rsid w:val="009E6651"/>
    <w:rsid w:val="00A00E02"/>
    <w:rsid w:val="00A177CF"/>
    <w:rsid w:val="00A20E40"/>
    <w:rsid w:val="00A21D05"/>
    <w:rsid w:val="00A261EA"/>
    <w:rsid w:val="00A420CD"/>
    <w:rsid w:val="00A423F0"/>
    <w:rsid w:val="00A844FF"/>
    <w:rsid w:val="00A927E8"/>
    <w:rsid w:val="00AA62D8"/>
    <w:rsid w:val="00AC1C83"/>
    <w:rsid w:val="00AE5212"/>
    <w:rsid w:val="00AF3528"/>
    <w:rsid w:val="00B074C3"/>
    <w:rsid w:val="00B27056"/>
    <w:rsid w:val="00B824BA"/>
    <w:rsid w:val="00BD56D3"/>
    <w:rsid w:val="00C043C5"/>
    <w:rsid w:val="00C14E25"/>
    <w:rsid w:val="00C44FF2"/>
    <w:rsid w:val="00C45C3C"/>
    <w:rsid w:val="00C46332"/>
    <w:rsid w:val="00C47F64"/>
    <w:rsid w:val="00C64413"/>
    <w:rsid w:val="00C75010"/>
    <w:rsid w:val="00C8362F"/>
    <w:rsid w:val="00C90699"/>
    <w:rsid w:val="00C97BA7"/>
    <w:rsid w:val="00CA2033"/>
    <w:rsid w:val="00CC46CD"/>
    <w:rsid w:val="00CC4C99"/>
    <w:rsid w:val="00CE332C"/>
    <w:rsid w:val="00D0201A"/>
    <w:rsid w:val="00D02E26"/>
    <w:rsid w:val="00D47729"/>
    <w:rsid w:val="00D61652"/>
    <w:rsid w:val="00D96F6B"/>
    <w:rsid w:val="00DA043B"/>
    <w:rsid w:val="00DC5F1B"/>
    <w:rsid w:val="00DE206C"/>
    <w:rsid w:val="00E0622C"/>
    <w:rsid w:val="00E23377"/>
    <w:rsid w:val="00E32616"/>
    <w:rsid w:val="00E3379C"/>
    <w:rsid w:val="00E43A08"/>
    <w:rsid w:val="00E56FEE"/>
    <w:rsid w:val="00E575F3"/>
    <w:rsid w:val="00EA0939"/>
    <w:rsid w:val="00EA241D"/>
    <w:rsid w:val="00EB579E"/>
    <w:rsid w:val="00EB6E1E"/>
    <w:rsid w:val="00EC5A19"/>
    <w:rsid w:val="00ED494B"/>
    <w:rsid w:val="00EE0356"/>
    <w:rsid w:val="00EF44D1"/>
    <w:rsid w:val="00F347C4"/>
    <w:rsid w:val="00F42E12"/>
    <w:rsid w:val="00F51C13"/>
    <w:rsid w:val="00F60B5C"/>
    <w:rsid w:val="00F65E9D"/>
    <w:rsid w:val="00F725AB"/>
    <w:rsid w:val="00F95E15"/>
    <w:rsid w:val="00F96086"/>
    <w:rsid w:val="00FE259C"/>
    <w:rsid w:val="00FF785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2F983"/>
  <w15:chartTrackingRefBased/>
  <w15:docId w15:val="{E7C257BE-EC62-1B4D-B18B-228999EB6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pacing w:after="160" w:line="259" w:lineRule="auto"/>
    </w:pPr>
    <w:rPr>
      <w:sz w:val="22"/>
      <w:szCs w:val="22"/>
      <w:lang w:eastAsia="en-US"/>
    </w:rPr>
  </w:style>
  <w:style w:type="paragraph" w:styleId="Nadpis1">
    <w:name w:val="heading 1"/>
    <w:basedOn w:val="Normln"/>
    <w:next w:val="Normln"/>
    <w:link w:val="Nadpis1Char"/>
    <w:uiPriority w:val="9"/>
    <w:qFormat/>
    <w:rsid w:val="00EA0939"/>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Nadpis2">
    <w:name w:val="heading 2"/>
    <w:basedOn w:val="Normln"/>
    <w:link w:val="Nadpis2Char"/>
    <w:uiPriority w:val="9"/>
    <w:qFormat/>
    <w:rsid w:val="00486550"/>
    <w:pPr>
      <w:spacing w:before="100" w:beforeAutospacing="1" w:after="100" w:afterAutospacing="1" w:line="240" w:lineRule="auto"/>
      <w:outlineLvl w:val="1"/>
    </w:pPr>
    <w:rPr>
      <w:rFonts w:ascii="Times New Roman" w:eastAsia="Times New Roman" w:hAnsi="Times New Roman"/>
      <w:b/>
      <w:bCs/>
      <w:sz w:val="36"/>
      <w:szCs w:val="36"/>
      <w:lang w:eastAsia="cs-CZ"/>
    </w:rPr>
  </w:style>
  <w:style w:type="paragraph" w:styleId="Nadpis3">
    <w:name w:val="heading 3"/>
    <w:basedOn w:val="Normln"/>
    <w:link w:val="Nadpis3Char"/>
    <w:uiPriority w:val="9"/>
    <w:qFormat/>
    <w:rsid w:val="00486550"/>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Revize">
    <w:name w:val="Revision"/>
    <w:hidden/>
    <w:uiPriority w:val="99"/>
    <w:semiHidden/>
    <w:rsid w:val="00E32616"/>
    <w:rPr>
      <w:sz w:val="22"/>
      <w:szCs w:val="22"/>
      <w:lang w:eastAsia="en-US"/>
    </w:rPr>
  </w:style>
  <w:style w:type="character" w:customStyle="1" w:styleId="Nadpis2Char">
    <w:name w:val="Nadpis 2 Char"/>
    <w:basedOn w:val="Standardnpsmoodstavce"/>
    <w:link w:val="Nadpis2"/>
    <w:uiPriority w:val="9"/>
    <w:rsid w:val="00486550"/>
    <w:rPr>
      <w:rFonts w:ascii="Times New Roman" w:eastAsia="Times New Roman" w:hAnsi="Times New Roman"/>
      <w:b/>
      <w:bCs/>
      <w:sz w:val="36"/>
      <w:szCs w:val="36"/>
    </w:rPr>
  </w:style>
  <w:style w:type="character" w:customStyle="1" w:styleId="Nadpis3Char">
    <w:name w:val="Nadpis 3 Char"/>
    <w:basedOn w:val="Standardnpsmoodstavce"/>
    <w:link w:val="Nadpis3"/>
    <w:uiPriority w:val="9"/>
    <w:rsid w:val="00486550"/>
    <w:rPr>
      <w:rFonts w:ascii="Times New Roman" w:eastAsia="Times New Roman" w:hAnsi="Times New Roman"/>
      <w:b/>
      <w:bCs/>
      <w:sz w:val="27"/>
      <w:szCs w:val="27"/>
    </w:rPr>
  </w:style>
  <w:style w:type="paragraph" w:styleId="Normlnweb">
    <w:name w:val="Normal (Web)"/>
    <w:basedOn w:val="Normln"/>
    <w:uiPriority w:val="99"/>
    <w:unhideWhenUsed/>
    <w:rsid w:val="00486550"/>
    <w:pPr>
      <w:spacing w:before="100" w:beforeAutospacing="1" w:after="100" w:afterAutospacing="1" w:line="240" w:lineRule="auto"/>
    </w:pPr>
    <w:rPr>
      <w:rFonts w:ascii="Times New Roman" w:eastAsia="Times New Roman" w:hAnsi="Times New Roman"/>
      <w:sz w:val="24"/>
      <w:szCs w:val="24"/>
      <w:lang w:eastAsia="cs-CZ"/>
    </w:rPr>
  </w:style>
  <w:style w:type="character" w:styleId="Siln">
    <w:name w:val="Strong"/>
    <w:basedOn w:val="Standardnpsmoodstavce"/>
    <w:uiPriority w:val="22"/>
    <w:qFormat/>
    <w:rsid w:val="00486550"/>
    <w:rPr>
      <w:b/>
      <w:bCs/>
    </w:rPr>
  </w:style>
  <w:style w:type="character" w:customStyle="1" w:styleId="apple-converted-space">
    <w:name w:val="apple-converted-space"/>
    <w:basedOn w:val="Standardnpsmoodstavce"/>
    <w:rsid w:val="00486550"/>
  </w:style>
  <w:style w:type="character" w:styleId="Hypertextovodkaz">
    <w:name w:val="Hyperlink"/>
    <w:basedOn w:val="Standardnpsmoodstavce"/>
    <w:uiPriority w:val="99"/>
    <w:unhideWhenUsed/>
    <w:rsid w:val="004526A2"/>
    <w:rPr>
      <w:color w:val="467886" w:themeColor="hyperlink"/>
      <w:u w:val="single"/>
    </w:rPr>
  </w:style>
  <w:style w:type="character" w:styleId="Nevyeenzmnka">
    <w:name w:val="Unresolved Mention"/>
    <w:basedOn w:val="Standardnpsmoodstavce"/>
    <w:uiPriority w:val="99"/>
    <w:semiHidden/>
    <w:unhideWhenUsed/>
    <w:rsid w:val="004526A2"/>
    <w:rPr>
      <w:color w:val="605E5C"/>
      <w:shd w:val="clear" w:color="auto" w:fill="E1DFDD"/>
    </w:rPr>
  </w:style>
  <w:style w:type="character" w:customStyle="1" w:styleId="Nadpis1Char">
    <w:name w:val="Nadpis 1 Char"/>
    <w:basedOn w:val="Standardnpsmoodstavce"/>
    <w:link w:val="Nadpis1"/>
    <w:uiPriority w:val="9"/>
    <w:rsid w:val="00EA0939"/>
    <w:rPr>
      <w:rFonts w:asciiTheme="majorHAnsi" w:eastAsiaTheme="majorEastAsia" w:hAnsiTheme="majorHAnsi" w:cstheme="majorBidi"/>
      <w:color w:val="0F4761"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291681">
      <w:bodyDiv w:val="1"/>
      <w:marLeft w:val="0"/>
      <w:marRight w:val="0"/>
      <w:marTop w:val="0"/>
      <w:marBottom w:val="0"/>
      <w:divBdr>
        <w:top w:val="none" w:sz="0" w:space="0" w:color="auto"/>
        <w:left w:val="none" w:sz="0" w:space="0" w:color="auto"/>
        <w:bottom w:val="none" w:sz="0" w:space="0" w:color="auto"/>
        <w:right w:val="none" w:sz="0" w:space="0" w:color="auto"/>
      </w:divBdr>
      <w:divsChild>
        <w:div w:id="196696921">
          <w:marLeft w:val="0"/>
          <w:marRight w:val="0"/>
          <w:marTop w:val="0"/>
          <w:marBottom w:val="0"/>
          <w:divBdr>
            <w:top w:val="none" w:sz="0" w:space="0" w:color="auto"/>
            <w:left w:val="none" w:sz="0" w:space="0" w:color="auto"/>
            <w:bottom w:val="none" w:sz="0" w:space="0" w:color="auto"/>
            <w:right w:val="none" w:sz="0" w:space="0" w:color="auto"/>
          </w:divBdr>
        </w:div>
        <w:div w:id="1095203274">
          <w:marLeft w:val="0"/>
          <w:marRight w:val="0"/>
          <w:marTop w:val="0"/>
          <w:marBottom w:val="0"/>
          <w:divBdr>
            <w:top w:val="none" w:sz="0" w:space="0" w:color="auto"/>
            <w:left w:val="none" w:sz="0" w:space="0" w:color="auto"/>
            <w:bottom w:val="none" w:sz="0" w:space="0" w:color="auto"/>
            <w:right w:val="none" w:sz="0" w:space="0" w:color="auto"/>
          </w:divBdr>
        </w:div>
        <w:div w:id="1824619292">
          <w:marLeft w:val="0"/>
          <w:marRight w:val="0"/>
          <w:marTop w:val="0"/>
          <w:marBottom w:val="0"/>
          <w:divBdr>
            <w:top w:val="none" w:sz="0" w:space="0" w:color="auto"/>
            <w:left w:val="none" w:sz="0" w:space="0" w:color="auto"/>
            <w:bottom w:val="none" w:sz="0" w:space="0" w:color="auto"/>
            <w:right w:val="none" w:sz="0" w:space="0" w:color="auto"/>
          </w:divBdr>
        </w:div>
      </w:divsChild>
    </w:div>
    <w:div w:id="123231995">
      <w:bodyDiv w:val="1"/>
      <w:marLeft w:val="0"/>
      <w:marRight w:val="0"/>
      <w:marTop w:val="0"/>
      <w:marBottom w:val="0"/>
      <w:divBdr>
        <w:top w:val="none" w:sz="0" w:space="0" w:color="auto"/>
        <w:left w:val="none" w:sz="0" w:space="0" w:color="auto"/>
        <w:bottom w:val="none" w:sz="0" w:space="0" w:color="auto"/>
        <w:right w:val="none" w:sz="0" w:space="0" w:color="auto"/>
      </w:divBdr>
      <w:divsChild>
        <w:div w:id="446699678">
          <w:marLeft w:val="0"/>
          <w:marRight w:val="0"/>
          <w:marTop w:val="0"/>
          <w:marBottom w:val="0"/>
          <w:divBdr>
            <w:top w:val="none" w:sz="0" w:space="0" w:color="auto"/>
            <w:left w:val="none" w:sz="0" w:space="0" w:color="auto"/>
            <w:bottom w:val="none" w:sz="0" w:space="0" w:color="auto"/>
            <w:right w:val="none" w:sz="0" w:space="0" w:color="auto"/>
          </w:divBdr>
        </w:div>
        <w:div w:id="1318459351">
          <w:marLeft w:val="0"/>
          <w:marRight w:val="0"/>
          <w:marTop w:val="0"/>
          <w:marBottom w:val="0"/>
          <w:divBdr>
            <w:top w:val="none" w:sz="0" w:space="0" w:color="auto"/>
            <w:left w:val="none" w:sz="0" w:space="0" w:color="auto"/>
            <w:bottom w:val="none" w:sz="0" w:space="0" w:color="auto"/>
            <w:right w:val="none" w:sz="0" w:space="0" w:color="auto"/>
          </w:divBdr>
        </w:div>
      </w:divsChild>
    </w:div>
    <w:div w:id="315958389">
      <w:bodyDiv w:val="1"/>
      <w:marLeft w:val="0"/>
      <w:marRight w:val="0"/>
      <w:marTop w:val="0"/>
      <w:marBottom w:val="0"/>
      <w:divBdr>
        <w:top w:val="none" w:sz="0" w:space="0" w:color="auto"/>
        <w:left w:val="none" w:sz="0" w:space="0" w:color="auto"/>
        <w:bottom w:val="none" w:sz="0" w:space="0" w:color="auto"/>
        <w:right w:val="none" w:sz="0" w:space="0" w:color="auto"/>
      </w:divBdr>
    </w:div>
    <w:div w:id="378432747">
      <w:bodyDiv w:val="1"/>
      <w:marLeft w:val="0"/>
      <w:marRight w:val="0"/>
      <w:marTop w:val="0"/>
      <w:marBottom w:val="0"/>
      <w:divBdr>
        <w:top w:val="none" w:sz="0" w:space="0" w:color="auto"/>
        <w:left w:val="none" w:sz="0" w:space="0" w:color="auto"/>
        <w:bottom w:val="none" w:sz="0" w:space="0" w:color="auto"/>
        <w:right w:val="none" w:sz="0" w:space="0" w:color="auto"/>
      </w:divBdr>
      <w:divsChild>
        <w:div w:id="13514871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120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405929">
      <w:bodyDiv w:val="1"/>
      <w:marLeft w:val="0"/>
      <w:marRight w:val="0"/>
      <w:marTop w:val="0"/>
      <w:marBottom w:val="0"/>
      <w:divBdr>
        <w:top w:val="none" w:sz="0" w:space="0" w:color="auto"/>
        <w:left w:val="none" w:sz="0" w:space="0" w:color="auto"/>
        <w:bottom w:val="none" w:sz="0" w:space="0" w:color="auto"/>
        <w:right w:val="none" w:sz="0" w:space="0" w:color="auto"/>
      </w:divBdr>
      <w:divsChild>
        <w:div w:id="43065584">
          <w:marLeft w:val="0"/>
          <w:marRight w:val="0"/>
          <w:marTop w:val="0"/>
          <w:marBottom w:val="0"/>
          <w:divBdr>
            <w:top w:val="none" w:sz="0" w:space="0" w:color="auto"/>
            <w:left w:val="none" w:sz="0" w:space="0" w:color="auto"/>
            <w:bottom w:val="none" w:sz="0" w:space="0" w:color="auto"/>
            <w:right w:val="none" w:sz="0" w:space="0" w:color="auto"/>
          </w:divBdr>
        </w:div>
        <w:div w:id="1003435404">
          <w:marLeft w:val="0"/>
          <w:marRight w:val="0"/>
          <w:marTop w:val="0"/>
          <w:marBottom w:val="0"/>
          <w:divBdr>
            <w:top w:val="none" w:sz="0" w:space="0" w:color="auto"/>
            <w:left w:val="none" w:sz="0" w:space="0" w:color="auto"/>
            <w:bottom w:val="none" w:sz="0" w:space="0" w:color="auto"/>
            <w:right w:val="none" w:sz="0" w:space="0" w:color="auto"/>
          </w:divBdr>
        </w:div>
        <w:div w:id="1628858125">
          <w:marLeft w:val="0"/>
          <w:marRight w:val="0"/>
          <w:marTop w:val="0"/>
          <w:marBottom w:val="0"/>
          <w:divBdr>
            <w:top w:val="none" w:sz="0" w:space="0" w:color="auto"/>
            <w:left w:val="none" w:sz="0" w:space="0" w:color="auto"/>
            <w:bottom w:val="none" w:sz="0" w:space="0" w:color="auto"/>
            <w:right w:val="none" w:sz="0" w:space="0" w:color="auto"/>
          </w:divBdr>
        </w:div>
      </w:divsChild>
    </w:div>
    <w:div w:id="710108840">
      <w:bodyDiv w:val="1"/>
      <w:marLeft w:val="0"/>
      <w:marRight w:val="0"/>
      <w:marTop w:val="0"/>
      <w:marBottom w:val="0"/>
      <w:divBdr>
        <w:top w:val="none" w:sz="0" w:space="0" w:color="auto"/>
        <w:left w:val="none" w:sz="0" w:space="0" w:color="auto"/>
        <w:bottom w:val="none" w:sz="0" w:space="0" w:color="auto"/>
        <w:right w:val="none" w:sz="0" w:space="0" w:color="auto"/>
      </w:divBdr>
      <w:divsChild>
        <w:div w:id="252200826">
          <w:marLeft w:val="0"/>
          <w:marRight w:val="0"/>
          <w:marTop w:val="0"/>
          <w:marBottom w:val="0"/>
          <w:divBdr>
            <w:top w:val="none" w:sz="0" w:space="0" w:color="auto"/>
            <w:left w:val="none" w:sz="0" w:space="0" w:color="auto"/>
            <w:bottom w:val="none" w:sz="0" w:space="0" w:color="auto"/>
            <w:right w:val="none" w:sz="0" w:space="0" w:color="auto"/>
          </w:divBdr>
        </w:div>
        <w:div w:id="426390370">
          <w:marLeft w:val="0"/>
          <w:marRight w:val="0"/>
          <w:marTop w:val="0"/>
          <w:marBottom w:val="0"/>
          <w:divBdr>
            <w:top w:val="none" w:sz="0" w:space="0" w:color="auto"/>
            <w:left w:val="none" w:sz="0" w:space="0" w:color="auto"/>
            <w:bottom w:val="none" w:sz="0" w:space="0" w:color="auto"/>
            <w:right w:val="none" w:sz="0" w:space="0" w:color="auto"/>
          </w:divBdr>
        </w:div>
        <w:div w:id="1137331710">
          <w:marLeft w:val="0"/>
          <w:marRight w:val="0"/>
          <w:marTop w:val="0"/>
          <w:marBottom w:val="0"/>
          <w:divBdr>
            <w:top w:val="none" w:sz="0" w:space="0" w:color="auto"/>
            <w:left w:val="none" w:sz="0" w:space="0" w:color="auto"/>
            <w:bottom w:val="none" w:sz="0" w:space="0" w:color="auto"/>
            <w:right w:val="none" w:sz="0" w:space="0" w:color="auto"/>
          </w:divBdr>
        </w:div>
        <w:div w:id="1589272170">
          <w:marLeft w:val="0"/>
          <w:marRight w:val="0"/>
          <w:marTop w:val="0"/>
          <w:marBottom w:val="0"/>
          <w:divBdr>
            <w:top w:val="none" w:sz="0" w:space="0" w:color="auto"/>
            <w:left w:val="none" w:sz="0" w:space="0" w:color="auto"/>
            <w:bottom w:val="none" w:sz="0" w:space="0" w:color="auto"/>
            <w:right w:val="none" w:sz="0" w:space="0" w:color="auto"/>
          </w:divBdr>
        </w:div>
      </w:divsChild>
    </w:div>
    <w:div w:id="1913924011">
      <w:bodyDiv w:val="1"/>
      <w:marLeft w:val="0"/>
      <w:marRight w:val="0"/>
      <w:marTop w:val="0"/>
      <w:marBottom w:val="0"/>
      <w:divBdr>
        <w:top w:val="none" w:sz="0" w:space="0" w:color="auto"/>
        <w:left w:val="none" w:sz="0" w:space="0" w:color="auto"/>
        <w:bottom w:val="none" w:sz="0" w:space="0" w:color="auto"/>
        <w:right w:val="none" w:sz="0" w:space="0" w:color="auto"/>
      </w:divBdr>
    </w:div>
    <w:div w:id="214218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royalbridgepartners.c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E4C7D-683A-4444-A8D3-584BB419A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487</Words>
  <Characters>2897</Characters>
  <Application>Microsoft Office Word</Application>
  <DocSecurity>0</DocSecurity>
  <Lines>44</Lines>
  <Paragraphs>11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3373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dc:description/>
  <cp:lastModifiedBy>Michal Hoblík</cp:lastModifiedBy>
  <cp:revision>3</cp:revision>
  <cp:lastPrinted>2023-01-02T11:49:00Z</cp:lastPrinted>
  <dcterms:created xsi:type="dcterms:W3CDTF">2026-07-13T09:10:00Z</dcterms:created>
  <dcterms:modified xsi:type="dcterms:W3CDTF">2026-07-13T09:14:00Z</dcterms:modified>
  <cp:category/>
</cp:coreProperties>
</file>