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1DA87" w14:textId="21613A37" w:rsidR="00FB6CFD" w:rsidRPr="00FB6CFD" w:rsidRDefault="00557322" w:rsidP="00FB6CFD">
      <w:pPr>
        <w:pStyle w:val="Nadpis1"/>
        <w:jc w:val="center"/>
        <w:rPr>
          <w:rFonts w:ascii="Arial" w:hAnsi="Arial" w:cs="Arial"/>
          <w:b/>
          <w:bCs/>
          <w:sz w:val="28"/>
          <w:szCs w:val="28"/>
        </w:rPr>
      </w:pPr>
      <w:r w:rsidRPr="00557322">
        <w:rPr>
          <w:rFonts w:ascii="Arial" w:hAnsi="Arial" w:cs="Arial"/>
          <w:b/>
          <w:bCs/>
          <w:sz w:val="28"/>
          <w:szCs w:val="28"/>
        </w:rPr>
        <w:t>Prognóza vývoje cen energií ve třech scénářích</w:t>
      </w:r>
      <w:r w:rsidR="00FB6CFD">
        <w:rPr>
          <w:rFonts w:ascii="Arial" w:hAnsi="Arial" w:cs="Arial"/>
          <w:b/>
          <w:bCs/>
          <w:sz w:val="28"/>
          <w:szCs w:val="28"/>
        </w:rPr>
        <w:t xml:space="preserve"> </w:t>
      </w:r>
      <w:r w:rsidR="00FB6CFD">
        <w:rPr>
          <w:rFonts w:ascii="Arial" w:hAnsi="Arial" w:cs="Arial"/>
          <w:b/>
          <w:bCs/>
          <w:sz w:val="28"/>
          <w:szCs w:val="28"/>
        </w:rPr>
        <w:br/>
        <w:t>podle Jiřího Matouška z CENTROPOL ENERGY</w:t>
      </w:r>
    </w:p>
    <w:p w14:paraId="2417AE81" w14:textId="2611531C" w:rsidR="00557322" w:rsidRPr="00557322" w:rsidRDefault="00557322" w:rsidP="00557322">
      <w:pPr>
        <w:pStyle w:val="Nadpis1"/>
        <w:numPr>
          <w:ilvl w:val="0"/>
          <w:numId w:val="3"/>
        </w:numPr>
        <w:rPr>
          <w:rFonts w:ascii="Arial" w:hAnsi="Arial" w:cs="Arial"/>
          <w:b/>
          <w:bCs/>
          <w:sz w:val="22"/>
          <w:szCs w:val="22"/>
        </w:rPr>
      </w:pPr>
      <w:r>
        <w:rPr>
          <w:rFonts w:ascii="Arial" w:hAnsi="Arial" w:cs="Arial"/>
          <w:b/>
          <w:bCs/>
          <w:sz w:val="22"/>
          <w:szCs w:val="22"/>
        </w:rPr>
        <w:t>7</w:t>
      </w:r>
      <w:r w:rsidRPr="00557322">
        <w:rPr>
          <w:rFonts w:ascii="Arial" w:hAnsi="Arial" w:cs="Arial"/>
          <w:b/>
          <w:bCs/>
          <w:sz w:val="22"/>
          <w:szCs w:val="22"/>
        </w:rPr>
        <w:t xml:space="preserve"> rizik, která spolurozhodují o ceně elektřiny pro rok 2027 i 2028</w:t>
      </w:r>
    </w:p>
    <w:p w14:paraId="74D5A45F" w14:textId="1E6728CC" w:rsidR="006E5DD8" w:rsidRPr="00557322" w:rsidRDefault="009D10A3" w:rsidP="00557322">
      <w:pPr>
        <w:pStyle w:val="Nadpis1"/>
        <w:numPr>
          <w:ilvl w:val="0"/>
          <w:numId w:val="3"/>
        </w:numPr>
        <w:rPr>
          <w:rFonts w:ascii="Arial" w:hAnsi="Arial" w:cs="Arial"/>
          <w:b/>
          <w:bCs/>
          <w:sz w:val="22"/>
          <w:szCs w:val="22"/>
        </w:rPr>
      </w:pPr>
      <w:r w:rsidRPr="00557322">
        <w:rPr>
          <w:rFonts w:ascii="Arial" w:hAnsi="Arial" w:cs="Arial"/>
          <w:b/>
          <w:bCs/>
          <w:sz w:val="22"/>
          <w:szCs w:val="22"/>
        </w:rPr>
        <w:t xml:space="preserve">Nižší ceny energií </w:t>
      </w:r>
      <w:r w:rsidR="00BC6BD8" w:rsidRPr="00557322">
        <w:rPr>
          <w:rFonts w:ascii="Arial" w:hAnsi="Arial" w:cs="Arial"/>
          <w:b/>
          <w:bCs/>
          <w:sz w:val="22"/>
          <w:szCs w:val="22"/>
        </w:rPr>
        <w:t xml:space="preserve">nejspíš </w:t>
      </w:r>
      <w:r w:rsidRPr="00557322">
        <w:rPr>
          <w:rFonts w:ascii="Arial" w:hAnsi="Arial" w:cs="Arial"/>
          <w:b/>
          <w:bCs/>
          <w:sz w:val="22"/>
          <w:szCs w:val="22"/>
        </w:rPr>
        <w:t xml:space="preserve">končí. Proč se vyplatí zafixovat </w:t>
      </w:r>
      <w:r w:rsidR="00BC284B" w:rsidRPr="00557322">
        <w:rPr>
          <w:rFonts w:ascii="Arial" w:hAnsi="Arial" w:cs="Arial"/>
          <w:b/>
          <w:bCs/>
          <w:sz w:val="22"/>
          <w:szCs w:val="22"/>
        </w:rPr>
        <w:t xml:space="preserve">si </w:t>
      </w:r>
      <w:r w:rsidRPr="00557322">
        <w:rPr>
          <w:rFonts w:ascii="Arial" w:hAnsi="Arial" w:cs="Arial"/>
          <w:b/>
          <w:bCs/>
          <w:sz w:val="22"/>
          <w:szCs w:val="22"/>
        </w:rPr>
        <w:t xml:space="preserve">elektřinu </w:t>
      </w:r>
      <w:r w:rsidR="00BC284B" w:rsidRPr="00557322">
        <w:rPr>
          <w:rFonts w:ascii="Arial" w:hAnsi="Arial" w:cs="Arial"/>
          <w:b/>
          <w:bCs/>
          <w:sz w:val="22"/>
          <w:szCs w:val="22"/>
        </w:rPr>
        <w:t>i</w:t>
      </w:r>
      <w:r w:rsidRPr="00557322">
        <w:rPr>
          <w:rFonts w:ascii="Arial" w:hAnsi="Arial" w:cs="Arial"/>
          <w:b/>
          <w:bCs/>
          <w:sz w:val="22"/>
          <w:szCs w:val="22"/>
        </w:rPr>
        <w:t xml:space="preserve"> plyn ještě před dovolenou</w:t>
      </w:r>
    </w:p>
    <w:p w14:paraId="677DD94E" w14:textId="77777777" w:rsidR="009A58F9" w:rsidRPr="00557322" w:rsidRDefault="009A58F9" w:rsidP="009A58F9">
      <w:pPr>
        <w:rPr>
          <w:rFonts w:ascii="Arial" w:hAnsi="Arial" w:cs="Arial"/>
        </w:rPr>
      </w:pPr>
    </w:p>
    <w:p w14:paraId="25C303E5" w14:textId="5C99CE15" w:rsidR="006E5DD8" w:rsidRPr="00557322" w:rsidRDefault="008F676A" w:rsidP="00D4397F">
      <w:pPr>
        <w:rPr>
          <w:rFonts w:ascii="Arial" w:hAnsi="Arial" w:cs="Arial"/>
          <w:b/>
          <w:bCs/>
        </w:rPr>
      </w:pPr>
      <w:r w:rsidRPr="00557322">
        <w:rPr>
          <w:rFonts w:ascii="Arial" w:hAnsi="Arial" w:cs="Arial"/>
          <w:b/>
          <w:bCs/>
        </w:rPr>
        <w:t xml:space="preserve">Praha, </w:t>
      </w:r>
      <w:r w:rsidR="00D5763E" w:rsidRPr="00557322">
        <w:rPr>
          <w:rFonts w:ascii="Arial" w:hAnsi="Arial" w:cs="Arial"/>
          <w:b/>
          <w:bCs/>
        </w:rPr>
        <w:t>3</w:t>
      </w:r>
      <w:r w:rsidRPr="00557322">
        <w:rPr>
          <w:rFonts w:ascii="Arial" w:hAnsi="Arial" w:cs="Arial"/>
          <w:b/>
          <w:bCs/>
        </w:rPr>
        <w:t xml:space="preserve">. </w:t>
      </w:r>
      <w:r w:rsidR="009A36E5">
        <w:rPr>
          <w:rFonts w:ascii="Arial" w:hAnsi="Arial" w:cs="Arial"/>
          <w:b/>
          <w:bCs/>
        </w:rPr>
        <w:t>července</w:t>
      </w:r>
      <w:r w:rsidR="00557322" w:rsidRPr="00557322">
        <w:rPr>
          <w:rFonts w:ascii="Arial" w:hAnsi="Arial" w:cs="Arial"/>
          <w:b/>
          <w:bCs/>
        </w:rPr>
        <w:t xml:space="preserve"> 2026</w:t>
      </w:r>
      <w:r w:rsidRPr="00557322">
        <w:rPr>
          <w:rFonts w:ascii="Arial" w:hAnsi="Arial" w:cs="Arial"/>
        </w:rPr>
        <w:t xml:space="preserve"> – </w:t>
      </w:r>
      <w:r w:rsidRPr="00557322">
        <w:rPr>
          <w:rFonts w:ascii="Arial" w:hAnsi="Arial" w:cs="Arial"/>
          <w:b/>
          <w:bCs/>
        </w:rPr>
        <w:t xml:space="preserve">Současná situace na velkoobchodním trhu s energiemi dává vzpomenout na </w:t>
      </w:r>
      <w:r w:rsidR="007955BC" w:rsidRPr="00557322">
        <w:rPr>
          <w:rFonts w:ascii="Arial" w:hAnsi="Arial" w:cs="Arial"/>
          <w:b/>
          <w:bCs/>
        </w:rPr>
        <w:t xml:space="preserve">období před </w:t>
      </w:r>
      <w:r w:rsidRPr="00557322">
        <w:rPr>
          <w:rFonts w:ascii="Arial" w:hAnsi="Arial" w:cs="Arial"/>
          <w:b/>
          <w:bCs/>
        </w:rPr>
        <w:t>energetickou kriz</w:t>
      </w:r>
      <w:r w:rsidR="00CF2643" w:rsidRPr="00557322">
        <w:rPr>
          <w:rFonts w:ascii="Arial" w:hAnsi="Arial" w:cs="Arial"/>
          <w:b/>
          <w:bCs/>
        </w:rPr>
        <w:t>í</w:t>
      </w:r>
      <w:r w:rsidRPr="00557322">
        <w:rPr>
          <w:rFonts w:ascii="Arial" w:hAnsi="Arial" w:cs="Arial"/>
          <w:b/>
          <w:bCs/>
        </w:rPr>
        <w:t xml:space="preserve"> </w:t>
      </w:r>
      <w:r w:rsidR="00292328" w:rsidRPr="00557322">
        <w:rPr>
          <w:rFonts w:ascii="Arial" w:hAnsi="Arial" w:cs="Arial"/>
          <w:b/>
          <w:bCs/>
        </w:rPr>
        <w:t xml:space="preserve">v roce </w:t>
      </w:r>
      <w:r w:rsidRPr="00557322">
        <w:rPr>
          <w:rFonts w:ascii="Arial" w:hAnsi="Arial" w:cs="Arial"/>
          <w:b/>
          <w:bCs/>
        </w:rPr>
        <w:t xml:space="preserve">2022. </w:t>
      </w:r>
      <w:r w:rsidR="006B4BE2" w:rsidRPr="00557322">
        <w:rPr>
          <w:rFonts w:ascii="Arial" w:hAnsi="Arial" w:cs="Arial"/>
          <w:b/>
          <w:bCs/>
        </w:rPr>
        <w:t>A</w:t>
      </w:r>
      <w:r w:rsidRPr="00557322">
        <w:rPr>
          <w:rFonts w:ascii="Arial" w:hAnsi="Arial" w:cs="Arial"/>
          <w:b/>
          <w:bCs/>
        </w:rPr>
        <w:t xml:space="preserve">ni pesimistický scénář </w:t>
      </w:r>
      <w:r w:rsidR="00024D7B" w:rsidRPr="00557322">
        <w:rPr>
          <w:rFonts w:ascii="Arial" w:hAnsi="Arial" w:cs="Arial"/>
          <w:b/>
          <w:bCs/>
        </w:rPr>
        <w:t>ilustr</w:t>
      </w:r>
      <w:r w:rsidR="006B4BE2" w:rsidRPr="00557322">
        <w:rPr>
          <w:rFonts w:ascii="Arial" w:hAnsi="Arial" w:cs="Arial"/>
          <w:b/>
          <w:bCs/>
        </w:rPr>
        <w:t>ující</w:t>
      </w:r>
      <w:r w:rsidR="00024D7B" w:rsidRPr="00557322">
        <w:rPr>
          <w:rFonts w:ascii="Arial" w:hAnsi="Arial" w:cs="Arial"/>
          <w:b/>
          <w:bCs/>
        </w:rPr>
        <w:t xml:space="preserve"> </w:t>
      </w:r>
      <w:r w:rsidRPr="00557322">
        <w:rPr>
          <w:rFonts w:ascii="Arial" w:hAnsi="Arial" w:cs="Arial"/>
          <w:b/>
          <w:bCs/>
        </w:rPr>
        <w:t xml:space="preserve">vývoj cen elektřiny pro dodávku v roce 2027 </w:t>
      </w:r>
      <w:r w:rsidR="00A968C7" w:rsidRPr="00557322">
        <w:rPr>
          <w:rFonts w:ascii="Arial" w:hAnsi="Arial" w:cs="Arial"/>
          <w:b/>
          <w:bCs/>
        </w:rPr>
        <w:t xml:space="preserve">sice </w:t>
      </w:r>
      <w:r w:rsidRPr="00557322">
        <w:rPr>
          <w:rFonts w:ascii="Arial" w:hAnsi="Arial" w:cs="Arial"/>
          <w:b/>
          <w:bCs/>
        </w:rPr>
        <w:t xml:space="preserve">zatím </w:t>
      </w:r>
      <w:r w:rsidR="00A968C7" w:rsidRPr="00557322">
        <w:rPr>
          <w:rFonts w:ascii="Arial" w:hAnsi="Arial" w:cs="Arial"/>
          <w:b/>
          <w:bCs/>
        </w:rPr>
        <w:t>nepředpokládá tak</w:t>
      </w:r>
      <w:r w:rsidRPr="00557322">
        <w:rPr>
          <w:rFonts w:ascii="Arial" w:hAnsi="Arial" w:cs="Arial"/>
          <w:b/>
          <w:bCs/>
        </w:rPr>
        <w:t xml:space="preserve"> dramatické dopady jako tehdy, </w:t>
      </w:r>
      <w:r w:rsidR="003118E9" w:rsidRPr="00557322">
        <w:rPr>
          <w:rFonts w:ascii="Arial" w:hAnsi="Arial" w:cs="Arial"/>
          <w:b/>
          <w:bCs/>
        </w:rPr>
        <w:t xml:space="preserve">ale </w:t>
      </w:r>
      <w:r w:rsidRPr="00557322">
        <w:rPr>
          <w:rFonts w:ascii="Arial" w:hAnsi="Arial" w:cs="Arial"/>
          <w:b/>
          <w:bCs/>
        </w:rPr>
        <w:t xml:space="preserve">období nižších cen na trhu </w:t>
      </w:r>
      <w:r w:rsidR="00CF59CD" w:rsidRPr="00557322">
        <w:rPr>
          <w:rFonts w:ascii="Arial" w:hAnsi="Arial" w:cs="Arial"/>
          <w:b/>
          <w:bCs/>
        </w:rPr>
        <w:t>zřejmě skončilo</w:t>
      </w:r>
      <w:r w:rsidRPr="00557322">
        <w:rPr>
          <w:rFonts w:ascii="Arial" w:hAnsi="Arial" w:cs="Arial"/>
          <w:b/>
          <w:bCs/>
        </w:rPr>
        <w:t xml:space="preserve">. Pro domácnosti i firmy proto znovu roste význam </w:t>
      </w:r>
      <w:r w:rsidR="009758A5" w:rsidRPr="00557322">
        <w:rPr>
          <w:rFonts w:ascii="Arial" w:hAnsi="Arial" w:cs="Arial"/>
          <w:b/>
          <w:bCs/>
        </w:rPr>
        <w:t>předvídatelnosti nákladů na energie.</w:t>
      </w:r>
      <w:r w:rsidR="005B7690" w:rsidRPr="00557322">
        <w:rPr>
          <w:rFonts w:ascii="Arial" w:hAnsi="Arial" w:cs="Arial"/>
          <w:b/>
          <w:bCs/>
        </w:rPr>
        <w:t xml:space="preserve"> </w:t>
      </w:r>
      <w:r w:rsidR="00373B2C" w:rsidRPr="00557322">
        <w:rPr>
          <w:rFonts w:ascii="Arial" w:hAnsi="Arial" w:cs="Arial"/>
          <w:b/>
          <w:bCs/>
        </w:rPr>
        <w:t>Fixace</w:t>
      </w:r>
      <w:r w:rsidRPr="00557322">
        <w:rPr>
          <w:rFonts w:ascii="Arial" w:hAnsi="Arial" w:cs="Arial"/>
          <w:b/>
          <w:bCs/>
        </w:rPr>
        <w:t xml:space="preserve"> cen</w:t>
      </w:r>
      <w:r w:rsidR="00373B2C" w:rsidRPr="00557322">
        <w:rPr>
          <w:rFonts w:ascii="Arial" w:hAnsi="Arial" w:cs="Arial"/>
          <w:b/>
          <w:bCs/>
        </w:rPr>
        <w:t>y</w:t>
      </w:r>
      <w:r w:rsidRPr="00557322">
        <w:rPr>
          <w:rFonts w:ascii="Arial" w:hAnsi="Arial" w:cs="Arial"/>
          <w:b/>
          <w:bCs/>
        </w:rPr>
        <w:t xml:space="preserve"> elektřiny </w:t>
      </w:r>
      <w:r w:rsidR="00EF11A5" w:rsidRPr="00557322">
        <w:rPr>
          <w:rFonts w:ascii="Arial" w:hAnsi="Arial" w:cs="Arial"/>
          <w:b/>
          <w:bCs/>
        </w:rPr>
        <w:t>i</w:t>
      </w:r>
      <w:r w:rsidRPr="00557322">
        <w:rPr>
          <w:rFonts w:ascii="Arial" w:hAnsi="Arial" w:cs="Arial"/>
          <w:b/>
          <w:bCs/>
        </w:rPr>
        <w:t xml:space="preserve"> zemního plynu ještě před odjezdem na dovolenou </w:t>
      </w:r>
      <w:r w:rsidR="00837F0C" w:rsidRPr="00557322">
        <w:rPr>
          <w:rFonts w:ascii="Arial" w:hAnsi="Arial" w:cs="Arial"/>
          <w:b/>
          <w:bCs/>
        </w:rPr>
        <w:t>je</w:t>
      </w:r>
      <w:r w:rsidRPr="00557322">
        <w:rPr>
          <w:rFonts w:ascii="Arial" w:hAnsi="Arial" w:cs="Arial"/>
          <w:b/>
          <w:bCs/>
        </w:rPr>
        <w:t xml:space="preserve"> </w:t>
      </w:r>
      <w:r w:rsidR="00FD0D0E" w:rsidRPr="00557322">
        <w:rPr>
          <w:rFonts w:ascii="Arial" w:hAnsi="Arial" w:cs="Arial"/>
          <w:b/>
          <w:bCs/>
        </w:rPr>
        <w:t>racionální</w:t>
      </w:r>
      <w:r w:rsidR="000B38DC" w:rsidRPr="00557322">
        <w:rPr>
          <w:rFonts w:ascii="Arial" w:hAnsi="Arial" w:cs="Arial"/>
          <w:b/>
          <w:bCs/>
        </w:rPr>
        <w:t>m krokem</w:t>
      </w:r>
      <w:r w:rsidR="00FD0D0E" w:rsidRPr="00557322">
        <w:rPr>
          <w:rFonts w:ascii="Arial" w:hAnsi="Arial" w:cs="Arial"/>
          <w:b/>
          <w:bCs/>
        </w:rPr>
        <w:t xml:space="preserve"> </w:t>
      </w:r>
      <w:r w:rsidR="000B38DC" w:rsidRPr="00557322">
        <w:rPr>
          <w:rFonts w:ascii="Arial" w:hAnsi="Arial" w:cs="Arial"/>
          <w:b/>
          <w:bCs/>
        </w:rPr>
        <w:t>chránícím před dalším zdražením</w:t>
      </w:r>
      <w:r w:rsidRPr="00557322">
        <w:rPr>
          <w:rFonts w:ascii="Arial" w:hAnsi="Arial" w:cs="Arial"/>
          <w:b/>
          <w:bCs/>
        </w:rPr>
        <w:t>.</w:t>
      </w:r>
    </w:p>
    <w:p w14:paraId="3A33B363" w14:textId="11F6DC78" w:rsidR="000B5572" w:rsidRPr="00557322" w:rsidRDefault="0099157D" w:rsidP="000B5572">
      <w:pPr>
        <w:spacing w:after="80"/>
        <w:rPr>
          <w:rFonts w:ascii="Arial" w:hAnsi="Arial" w:cs="Arial"/>
        </w:rPr>
      </w:pPr>
      <w:r w:rsidRPr="00557322">
        <w:rPr>
          <w:rFonts w:ascii="Arial" w:hAnsi="Arial" w:cs="Arial"/>
          <w:noProof/>
        </w:rPr>
        <w:t xml:space="preserve"> </w:t>
      </w:r>
      <w:r w:rsidRPr="00557322">
        <w:rPr>
          <w:rFonts w:ascii="Arial" w:hAnsi="Arial" w:cs="Arial"/>
          <w:noProof/>
        </w:rPr>
        <w:drawing>
          <wp:inline distT="0" distB="0" distL="0" distR="0" wp14:anchorId="5860D0EB" wp14:editId="3F45D250">
            <wp:extent cx="5760720" cy="3867150"/>
            <wp:effectExtent l="0" t="0" r="11430" b="0"/>
            <wp:docPr id="728025696" name="Graf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Pr="00557322" w:rsidDel="00336258">
        <w:rPr>
          <w:rFonts w:ascii="Arial" w:hAnsi="Arial" w:cs="Arial"/>
        </w:rPr>
        <w:t xml:space="preserve"> </w:t>
      </w:r>
    </w:p>
    <w:p w14:paraId="355AE384" w14:textId="1F86046A" w:rsidR="00336258" w:rsidRPr="00557322" w:rsidRDefault="00336258" w:rsidP="00336258">
      <w:pPr>
        <w:rPr>
          <w:rFonts w:ascii="Arial" w:hAnsi="Arial" w:cs="Arial"/>
        </w:rPr>
      </w:pPr>
      <w:r w:rsidRPr="00557322">
        <w:rPr>
          <w:rFonts w:ascii="Arial" w:hAnsi="Arial" w:cs="Arial"/>
        </w:rPr>
        <w:t>Výchozí cena velkoobchodního produktu nákupu</w:t>
      </w:r>
      <w:r w:rsidR="00A6686D" w:rsidRPr="00557322">
        <w:rPr>
          <w:rFonts w:ascii="Arial" w:hAnsi="Arial" w:cs="Arial"/>
        </w:rPr>
        <w:t xml:space="preserve"> s dodávkou v příštím roce</w:t>
      </w:r>
      <w:r w:rsidRPr="00557322">
        <w:rPr>
          <w:rFonts w:ascii="Arial" w:hAnsi="Arial" w:cs="Arial"/>
        </w:rPr>
        <w:t xml:space="preserve"> CZ CAL-2027 na energetické burze pro střední Evropu PXE dosáhla k 30. červnu 2026 hodnoty 99,91 EUR/</w:t>
      </w:r>
      <w:proofErr w:type="spellStart"/>
      <w:r w:rsidRPr="00557322">
        <w:rPr>
          <w:rFonts w:ascii="Arial" w:hAnsi="Arial" w:cs="Arial"/>
        </w:rPr>
        <w:t>MWh</w:t>
      </w:r>
      <w:proofErr w:type="spellEnd"/>
      <w:r w:rsidRPr="00557322">
        <w:rPr>
          <w:rFonts w:ascii="Arial" w:hAnsi="Arial" w:cs="Arial"/>
        </w:rPr>
        <w:t xml:space="preserve">. Do jejího vývoje se promítá kombinace tří tlaků: geopolitického napětí </w:t>
      </w:r>
      <w:r w:rsidR="00F207E5" w:rsidRPr="00557322">
        <w:rPr>
          <w:rFonts w:ascii="Arial" w:hAnsi="Arial" w:cs="Arial"/>
        </w:rPr>
        <w:t>ohledně</w:t>
      </w:r>
      <w:r w:rsidRPr="00557322">
        <w:rPr>
          <w:rFonts w:ascii="Arial" w:hAnsi="Arial" w:cs="Arial"/>
        </w:rPr>
        <w:t xml:space="preserve"> dodávek LNG, podnormálního stavu naplnění evropských zásobníků plynu a klimatických </w:t>
      </w:r>
      <w:r w:rsidRPr="00557322">
        <w:rPr>
          <w:rFonts w:ascii="Arial" w:hAnsi="Arial" w:cs="Arial"/>
        </w:rPr>
        <w:lastRenderedPageBreak/>
        <w:t>vlivů, zejména veder a sucha vedoucích k omezení výroby ve francouzských jaderných či německých větrných elektrárnách</w:t>
      </w:r>
      <w:r w:rsidR="00F22BBE" w:rsidRPr="00557322">
        <w:rPr>
          <w:rFonts w:ascii="Arial" w:hAnsi="Arial" w:cs="Arial"/>
        </w:rPr>
        <w:t>.</w:t>
      </w:r>
    </w:p>
    <w:p w14:paraId="2640D0FC" w14:textId="7D6117CF" w:rsidR="00336258" w:rsidRPr="00557322" w:rsidRDefault="00907B07" w:rsidP="000B5572">
      <w:pPr>
        <w:spacing w:after="80"/>
        <w:rPr>
          <w:rFonts w:ascii="Arial" w:hAnsi="Arial" w:cs="Arial"/>
        </w:rPr>
      </w:pPr>
      <w:r w:rsidRPr="00557322">
        <w:rPr>
          <w:rFonts w:ascii="Arial" w:hAnsi="Arial" w:cs="Arial"/>
          <w:noProof/>
        </w:rPr>
        <w:drawing>
          <wp:inline distT="0" distB="0" distL="0" distR="0" wp14:anchorId="10DB5816" wp14:editId="7F23ACA4">
            <wp:extent cx="5760720" cy="3435350"/>
            <wp:effectExtent l="0" t="0" r="11430" b="12700"/>
            <wp:docPr id="182099336" name="Graf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1959F00" w14:textId="1EFA18A0" w:rsidR="001D0CA5" w:rsidRPr="00557322" w:rsidRDefault="001D0CA5" w:rsidP="00E44E01">
      <w:pPr>
        <w:pStyle w:val="Nadpis2"/>
        <w:rPr>
          <w:rFonts w:ascii="Arial" w:hAnsi="Arial" w:cs="Arial"/>
          <w:sz w:val="22"/>
          <w:szCs w:val="22"/>
        </w:rPr>
      </w:pPr>
      <w:r w:rsidRPr="00557322">
        <w:rPr>
          <w:rFonts w:ascii="Arial" w:hAnsi="Arial" w:cs="Arial"/>
          <w:sz w:val="22"/>
          <w:szCs w:val="22"/>
        </w:rPr>
        <w:t>Trh se vrací k opatrnosti</w:t>
      </w:r>
    </w:p>
    <w:p w14:paraId="75A99F6B" w14:textId="31081E7A" w:rsidR="001D0CA5" w:rsidRPr="00557322" w:rsidRDefault="001D0CA5">
      <w:pPr>
        <w:rPr>
          <w:rFonts w:ascii="Arial" w:hAnsi="Arial" w:cs="Arial"/>
          <w:lang w:eastAsia="cs-CZ"/>
        </w:rPr>
      </w:pPr>
      <w:r w:rsidRPr="00557322">
        <w:rPr>
          <w:rFonts w:ascii="Arial" w:hAnsi="Arial" w:cs="Arial"/>
        </w:rPr>
        <w:t xml:space="preserve">Velkoobchodní ceny elektřiny v Evropě zůstávají silně navázané na cenu plynu, emisních povolenek a dostupnost výrobních zdrojů. Když roste cena plynu nebo je potřeba častěji zapojovat plynové elektrárny jako záložní zdroj, promítá se to i do ceny elektřiny. V druhé polovině roku 2026 </w:t>
      </w:r>
      <w:r w:rsidR="00345FAD" w:rsidRPr="00557322">
        <w:rPr>
          <w:rFonts w:ascii="Arial" w:hAnsi="Arial" w:cs="Arial"/>
        </w:rPr>
        <w:t>bude také</w:t>
      </w:r>
      <w:r w:rsidRPr="00557322">
        <w:rPr>
          <w:rFonts w:ascii="Arial" w:hAnsi="Arial" w:cs="Arial"/>
        </w:rPr>
        <w:t xml:space="preserve"> klíčové, za jaké ceny dodavatelé dokoupí poslední část objemu </w:t>
      </w:r>
      <w:r w:rsidR="00FD3FDB" w:rsidRPr="00557322">
        <w:rPr>
          <w:rFonts w:ascii="Arial" w:hAnsi="Arial" w:cs="Arial"/>
        </w:rPr>
        <w:t xml:space="preserve">plynu </w:t>
      </w:r>
      <w:r w:rsidRPr="00557322">
        <w:rPr>
          <w:rFonts w:ascii="Arial" w:hAnsi="Arial" w:cs="Arial"/>
        </w:rPr>
        <w:t xml:space="preserve">pro </w:t>
      </w:r>
      <w:r w:rsidR="00932250" w:rsidRPr="00557322">
        <w:rPr>
          <w:rFonts w:ascii="Arial" w:hAnsi="Arial" w:cs="Arial"/>
        </w:rPr>
        <w:t xml:space="preserve">zimní sezónu </w:t>
      </w:r>
      <w:r w:rsidR="006A4E72" w:rsidRPr="00557322">
        <w:rPr>
          <w:rFonts w:ascii="Arial" w:hAnsi="Arial" w:cs="Arial"/>
        </w:rPr>
        <w:t>2026–2027</w:t>
      </w:r>
      <w:r w:rsidRPr="00557322">
        <w:rPr>
          <w:rFonts w:ascii="Arial" w:hAnsi="Arial" w:cs="Arial"/>
        </w:rPr>
        <w:t>.</w:t>
      </w:r>
    </w:p>
    <w:p w14:paraId="3E55030D" w14:textId="3AA6EE13" w:rsidR="001D0CA5" w:rsidRPr="00557322" w:rsidRDefault="001D0CA5">
      <w:pPr>
        <w:rPr>
          <w:rFonts w:ascii="Arial" w:hAnsi="Arial" w:cs="Arial"/>
          <w:lang w:eastAsia="cs-CZ"/>
        </w:rPr>
      </w:pPr>
      <w:r w:rsidRPr="00557322">
        <w:rPr>
          <w:rFonts w:ascii="Arial" w:hAnsi="Arial" w:cs="Arial"/>
        </w:rPr>
        <w:t xml:space="preserve">Základní scénář počítá s tím, že se cena CZ CAL-2027 může do konce roku 2026 pohybovat zhruba v pásmu </w:t>
      </w:r>
      <w:r w:rsidR="0022669C" w:rsidRPr="00557322">
        <w:rPr>
          <w:rFonts w:ascii="Arial" w:hAnsi="Arial" w:cs="Arial"/>
        </w:rPr>
        <w:t xml:space="preserve">100 </w:t>
      </w:r>
      <w:r w:rsidRPr="00557322">
        <w:rPr>
          <w:rFonts w:ascii="Arial" w:hAnsi="Arial" w:cs="Arial"/>
        </w:rPr>
        <w:t xml:space="preserve">až </w:t>
      </w:r>
      <w:r w:rsidR="0022669C" w:rsidRPr="00557322">
        <w:rPr>
          <w:rFonts w:ascii="Arial" w:hAnsi="Arial" w:cs="Arial"/>
        </w:rPr>
        <w:t xml:space="preserve">117 </w:t>
      </w:r>
      <w:r w:rsidRPr="00557322">
        <w:rPr>
          <w:rFonts w:ascii="Arial" w:hAnsi="Arial" w:cs="Arial"/>
        </w:rPr>
        <w:t>EUR/</w:t>
      </w:r>
      <w:proofErr w:type="spellStart"/>
      <w:r w:rsidRPr="00557322">
        <w:rPr>
          <w:rFonts w:ascii="Arial" w:hAnsi="Arial" w:cs="Arial"/>
        </w:rPr>
        <w:t>MWh</w:t>
      </w:r>
      <w:proofErr w:type="spellEnd"/>
      <w:r w:rsidR="00A65586" w:rsidRPr="00557322">
        <w:rPr>
          <w:rFonts w:ascii="Arial" w:hAnsi="Arial" w:cs="Arial"/>
        </w:rPr>
        <w:t xml:space="preserve"> (+ 17 EUR)</w:t>
      </w:r>
      <w:r w:rsidRPr="00557322">
        <w:rPr>
          <w:rFonts w:ascii="Arial" w:hAnsi="Arial" w:cs="Arial"/>
        </w:rPr>
        <w:t>. Pesimistický scénář připouští při kumulaci nepříznivých faktorů růst až k 13</w:t>
      </w:r>
      <w:r w:rsidR="009A466E" w:rsidRPr="00557322">
        <w:rPr>
          <w:rFonts w:ascii="Arial" w:hAnsi="Arial" w:cs="Arial"/>
        </w:rPr>
        <w:t>0</w:t>
      </w:r>
      <w:r w:rsidRPr="00557322">
        <w:rPr>
          <w:rFonts w:ascii="Arial" w:hAnsi="Arial" w:cs="Arial"/>
        </w:rPr>
        <w:t xml:space="preserve"> až 14</w:t>
      </w:r>
      <w:r w:rsidR="009A466E" w:rsidRPr="00557322">
        <w:rPr>
          <w:rFonts w:ascii="Arial" w:hAnsi="Arial" w:cs="Arial"/>
        </w:rPr>
        <w:t>0</w:t>
      </w:r>
      <w:r w:rsidRPr="00557322">
        <w:rPr>
          <w:rFonts w:ascii="Arial" w:hAnsi="Arial" w:cs="Arial"/>
        </w:rPr>
        <w:t xml:space="preserve"> EUR/</w:t>
      </w:r>
      <w:proofErr w:type="spellStart"/>
      <w:r w:rsidRPr="00557322">
        <w:rPr>
          <w:rFonts w:ascii="Arial" w:hAnsi="Arial" w:cs="Arial"/>
        </w:rPr>
        <w:t>MWh</w:t>
      </w:r>
      <w:proofErr w:type="spellEnd"/>
      <w:r w:rsidR="00A65586" w:rsidRPr="00557322">
        <w:rPr>
          <w:rFonts w:ascii="Arial" w:hAnsi="Arial" w:cs="Arial"/>
        </w:rPr>
        <w:t xml:space="preserve"> (+</w:t>
      </w:r>
      <w:r w:rsidR="0093682A" w:rsidRPr="00557322">
        <w:rPr>
          <w:rFonts w:ascii="Arial" w:hAnsi="Arial" w:cs="Arial"/>
        </w:rPr>
        <w:t xml:space="preserve"> </w:t>
      </w:r>
      <w:r w:rsidR="00A65586" w:rsidRPr="00557322">
        <w:rPr>
          <w:rFonts w:ascii="Arial" w:hAnsi="Arial" w:cs="Arial"/>
        </w:rPr>
        <w:t>40 EUR)</w:t>
      </w:r>
      <w:r w:rsidRPr="00557322">
        <w:rPr>
          <w:rFonts w:ascii="Arial" w:hAnsi="Arial" w:cs="Arial"/>
        </w:rPr>
        <w:t xml:space="preserve">. Optimistická varianta naopak předpokládá uklidnění geopolitické situace, doplnění zásobníků a příznivé počasí, což </w:t>
      </w:r>
      <w:r w:rsidR="00A71549" w:rsidRPr="00557322">
        <w:rPr>
          <w:rFonts w:ascii="Arial" w:hAnsi="Arial" w:cs="Arial"/>
        </w:rPr>
        <w:t xml:space="preserve">ovšem </w:t>
      </w:r>
      <w:r w:rsidR="00B357EC" w:rsidRPr="00557322">
        <w:rPr>
          <w:rFonts w:ascii="Arial" w:hAnsi="Arial" w:cs="Arial"/>
        </w:rPr>
        <w:t>cenu opro</w:t>
      </w:r>
      <w:r w:rsidR="00C1346C" w:rsidRPr="00557322">
        <w:rPr>
          <w:rFonts w:ascii="Arial" w:hAnsi="Arial" w:cs="Arial"/>
        </w:rPr>
        <w:t>ti</w:t>
      </w:r>
      <w:r w:rsidR="00B357EC" w:rsidRPr="00557322">
        <w:rPr>
          <w:rFonts w:ascii="Arial" w:hAnsi="Arial" w:cs="Arial"/>
        </w:rPr>
        <w:t xml:space="preserve"> výchozí</w:t>
      </w:r>
      <w:r w:rsidRPr="00557322">
        <w:rPr>
          <w:rFonts w:ascii="Arial" w:hAnsi="Arial" w:cs="Arial"/>
        </w:rPr>
        <w:t xml:space="preserve"> </w:t>
      </w:r>
      <w:r w:rsidR="00B357EC" w:rsidRPr="00557322">
        <w:rPr>
          <w:rFonts w:ascii="Arial" w:hAnsi="Arial" w:cs="Arial"/>
        </w:rPr>
        <w:t>sníží jen minimálně</w:t>
      </w:r>
      <w:r w:rsidR="009302C1" w:rsidRPr="00557322">
        <w:rPr>
          <w:rFonts w:ascii="Arial" w:hAnsi="Arial" w:cs="Arial"/>
        </w:rPr>
        <w:t xml:space="preserve"> – o dvě až čtyři EUR/</w:t>
      </w:r>
      <w:proofErr w:type="spellStart"/>
      <w:r w:rsidR="009302C1" w:rsidRPr="00557322">
        <w:rPr>
          <w:rFonts w:ascii="Arial" w:hAnsi="Arial" w:cs="Arial"/>
        </w:rPr>
        <w:t>MWh</w:t>
      </w:r>
      <w:proofErr w:type="spellEnd"/>
      <w:r w:rsidR="00B24D82" w:rsidRPr="00557322">
        <w:rPr>
          <w:rFonts w:ascii="Arial" w:hAnsi="Arial" w:cs="Arial"/>
        </w:rPr>
        <w:t xml:space="preserve">. </w:t>
      </w:r>
      <w:r w:rsidR="005374AA" w:rsidRPr="00557322">
        <w:rPr>
          <w:rFonts w:ascii="Arial" w:hAnsi="Arial" w:cs="Arial"/>
        </w:rPr>
        <w:t>S</w:t>
      </w:r>
      <w:r w:rsidR="000D5091" w:rsidRPr="00557322">
        <w:rPr>
          <w:rFonts w:ascii="Arial" w:hAnsi="Arial" w:cs="Arial"/>
        </w:rPr>
        <w:t> vyšší pravděpodobností</w:t>
      </w:r>
      <w:r w:rsidR="00AE5E49" w:rsidRPr="00557322">
        <w:rPr>
          <w:rFonts w:ascii="Arial" w:hAnsi="Arial" w:cs="Arial"/>
        </w:rPr>
        <w:t xml:space="preserve"> </w:t>
      </w:r>
      <w:r w:rsidR="005374AA" w:rsidRPr="00557322">
        <w:rPr>
          <w:rFonts w:ascii="Arial" w:hAnsi="Arial" w:cs="Arial"/>
        </w:rPr>
        <w:t xml:space="preserve">v tomto roce lépe již bylo </w:t>
      </w:r>
      <w:r w:rsidR="003F5CB7" w:rsidRPr="00557322">
        <w:rPr>
          <w:rFonts w:ascii="Arial" w:hAnsi="Arial" w:cs="Arial"/>
        </w:rPr>
        <w:t>a ceny elektřiny na velkoobchodním trhu budou spíše dále růst.</w:t>
      </w:r>
    </w:p>
    <w:p w14:paraId="50719712" w14:textId="1DA32AF1" w:rsidR="001D0CA5" w:rsidRPr="00557322" w:rsidRDefault="001D0CA5">
      <w:pPr>
        <w:pStyle w:val="Nadpis2"/>
        <w:rPr>
          <w:rFonts w:ascii="Arial" w:hAnsi="Arial" w:cs="Arial"/>
          <w:sz w:val="22"/>
          <w:szCs w:val="22"/>
          <w:lang w:eastAsia="cs-CZ"/>
        </w:rPr>
      </w:pPr>
      <w:r w:rsidRPr="00557322">
        <w:rPr>
          <w:rFonts w:ascii="Arial" w:hAnsi="Arial" w:cs="Arial"/>
          <w:sz w:val="22"/>
          <w:szCs w:val="22"/>
        </w:rPr>
        <w:t xml:space="preserve">Sedm rizik, která </w:t>
      </w:r>
      <w:r w:rsidR="003B13F9" w:rsidRPr="00557322">
        <w:rPr>
          <w:rFonts w:ascii="Arial" w:hAnsi="Arial" w:cs="Arial"/>
          <w:sz w:val="22"/>
          <w:szCs w:val="22"/>
        </w:rPr>
        <w:t>spoluro</w:t>
      </w:r>
      <w:r w:rsidR="009148D2" w:rsidRPr="00557322">
        <w:rPr>
          <w:rFonts w:ascii="Arial" w:hAnsi="Arial" w:cs="Arial"/>
          <w:sz w:val="22"/>
          <w:szCs w:val="22"/>
        </w:rPr>
        <w:t>z</w:t>
      </w:r>
      <w:r w:rsidR="003B13F9" w:rsidRPr="00557322">
        <w:rPr>
          <w:rFonts w:ascii="Arial" w:hAnsi="Arial" w:cs="Arial"/>
          <w:sz w:val="22"/>
          <w:szCs w:val="22"/>
        </w:rPr>
        <w:t>hodují</w:t>
      </w:r>
      <w:r w:rsidRPr="00557322">
        <w:rPr>
          <w:rFonts w:ascii="Arial" w:hAnsi="Arial" w:cs="Arial"/>
          <w:sz w:val="22"/>
          <w:szCs w:val="22"/>
        </w:rPr>
        <w:t xml:space="preserve"> o ceně elektřiny pro rok 2027</w:t>
      </w:r>
      <w:r w:rsidR="00313DB6" w:rsidRPr="00557322">
        <w:rPr>
          <w:rFonts w:ascii="Arial" w:hAnsi="Arial" w:cs="Arial"/>
          <w:sz w:val="22"/>
          <w:szCs w:val="22"/>
        </w:rPr>
        <w:t xml:space="preserve"> i 2028</w:t>
      </w:r>
    </w:p>
    <w:p w14:paraId="58E92EEF" w14:textId="6ED85FFF" w:rsidR="001D0CA5" w:rsidRPr="00557322" w:rsidRDefault="001D0CA5" w:rsidP="001D0CA5">
      <w:pPr>
        <w:pStyle w:val="Odstavecseseznamem"/>
        <w:numPr>
          <w:ilvl w:val="0"/>
          <w:numId w:val="1"/>
        </w:numPr>
        <w:rPr>
          <w:rFonts w:ascii="Arial" w:hAnsi="Arial" w:cs="Arial"/>
          <w:lang w:eastAsia="cs-CZ"/>
        </w:rPr>
      </w:pPr>
      <w:r w:rsidRPr="00557322">
        <w:rPr>
          <w:rFonts w:ascii="Arial" w:hAnsi="Arial" w:cs="Arial"/>
          <w:b/>
          <w:bCs/>
        </w:rPr>
        <w:t>Hormuz a geopolitika LNG.</w:t>
      </w:r>
      <w:r w:rsidRPr="00557322">
        <w:rPr>
          <w:rFonts w:ascii="Arial" w:hAnsi="Arial" w:cs="Arial"/>
        </w:rPr>
        <w:t xml:space="preserve"> Největším rizikem zůstává vývoj v oblasti Perského zálivu </w:t>
      </w:r>
      <w:r w:rsidR="005D5B76" w:rsidRPr="00557322">
        <w:rPr>
          <w:rFonts w:ascii="Arial" w:hAnsi="Arial" w:cs="Arial"/>
        </w:rPr>
        <w:br/>
      </w:r>
      <w:r w:rsidRPr="00557322">
        <w:rPr>
          <w:rFonts w:ascii="Arial" w:hAnsi="Arial" w:cs="Arial"/>
        </w:rPr>
        <w:t>a dostupnost zkapalněného plynu</w:t>
      </w:r>
      <w:r w:rsidR="009148D2" w:rsidRPr="00557322">
        <w:rPr>
          <w:rFonts w:ascii="Arial" w:hAnsi="Arial" w:cs="Arial"/>
        </w:rPr>
        <w:t xml:space="preserve"> LNG</w:t>
      </w:r>
      <w:r w:rsidRPr="00557322">
        <w:rPr>
          <w:rFonts w:ascii="Arial" w:hAnsi="Arial" w:cs="Arial"/>
        </w:rPr>
        <w:t xml:space="preserve">. Pokud by se zhoršila průchodnost </w:t>
      </w:r>
      <w:proofErr w:type="spellStart"/>
      <w:r w:rsidRPr="00557322">
        <w:rPr>
          <w:rFonts w:ascii="Arial" w:hAnsi="Arial" w:cs="Arial"/>
        </w:rPr>
        <w:t>Hormuzského</w:t>
      </w:r>
      <w:proofErr w:type="spellEnd"/>
      <w:r w:rsidRPr="00557322">
        <w:rPr>
          <w:rFonts w:ascii="Arial" w:hAnsi="Arial" w:cs="Arial"/>
        </w:rPr>
        <w:t xml:space="preserve"> průlivu nebo byla déle omezena produkce v klíčových exportních terminálech, ceny plynu by znovu rychle rostly a </w:t>
      </w:r>
      <w:r w:rsidR="00B03FF4" w:rsidRPr="00557322">
        <w:rPr>
          <w:rFonts w:ascii="Arial" w:hAnsi="Arial" w:cs="Arial"/>
        </w:rPr>
        <w:t xml:space="preserve">růst </w:t>
      </w:r>
      <w:r w:rsidRPr="00557322">
        <w:rPr>
          <w:rFonts w:ascii="Arial" w:hAnsi="Arial" w:cs="Arial"/>
        </w:rPr>
        <w:t xml:space="preserve">by se </w:t>
      </w:r>
      <w:r w:rsidR="00B03FF4" w:rsidRPr="00557322">
        <w:rPr>
          <w:rFonts w:ascii="Arial" w:hAnsi="Arial" w:cs="Arial"/>
        </w:rPr>
        <w:t xml:space="preserve">přenesl </w:t>
      </w:r>
      <w:r w:rsidRPr="00557322">
        <w:rPr>
          <w:rFonts w:ascii="Arial" w:hAnsi="Arial" w:cs="Arial"/>
        </w:rPr>
        <w:t xml:space="preserve">i do </w:t>
      </w:r>
      <w:r w:rsidR="00B03FF4" w:rsidRPr="00557322">
        <w:rPr>
          <w:rFonts w:ascii="Arial" w:hAnsi="Arial" w:cs="Arial"/>
        </w:rPr>
        <w:t xml:space="preserve">ceny </w:t>
      </w:r>
      <w:r w:rsidRPr="00557322">
        <w:rPr>
          <w:rFonts w:ascii="Arial" w:hAnsi="Arial" w:cs="Arial"/>
        </w:rPr>
        <w:t>elektřiny.</w:t>
      </w:r>
    </w:p>
    <w:p w14:paraId="04BA5CB2" w14:textId="34EBF84E" w:rsidR="001D0CA5" w:rsidRPr="00557322" w:rsidRDefault="00372775" w:rsidP="001D0CA5">
      <w:pPr>
        <w:pStyle w:val="Odstavecseseznamem"/>
        <w:numPr>
          <w:ilvl w:val="0"/>
          <w:numId w:val="1"/>
        </w:numPr>
        <w:rPr>
          <w:rFonts w:ascii="Arial" w:hAnsi="Arial" w:cs="Arial"/>
        </w:rPr>
      </w:pPr>
      <w:r w:rsidRPr="00557322">
        <w:rPr>
          <w:rFonts w:ascii="Arial" w:hAnsi="Arial" w:cs="Arial"/>
          <w:b/>
          <w:bCs/>
        </w:rPr>
        <w:t>P</w:t>
      </w:r>
      <w:r w:rsidR="001D0CA5" w:rsidRPr="00557322">
        <w:rPr>
          <w:rFonts w:ascii="Arial" w:hAnsi="Arial" w:cs="Arial"/>
          <w:b/>
          <w:bCs/>
        </w:rPr>
        <w:t>optávka</w:t>
      </w:r>
      <w:r w:rsidRPr="00557322">
        <w:rPr>
          <w:rFonts w:ascii="Arial" w:hAnsi="Arial" w:cs="Arial"/>
          <w:b/>
          <w:bCs/>
        </w:rPr>
        <w:t xml:space="preserve"> ve </w:t>
      </w:r>
      <w:proofErr w:type="spellStart"/>
      <w:r w:rsidRPr="00557322">
        <w:rPr>
          <w:rFonts w:ascii="Arial" w:hAnsi="Arial" w:cs="Arial"/>
          <w:b/>
          <w:bCs/>
        </w:rPr>
        <w:t>vtláčecí</w:t>
      </w:r>
      <w:proofErr w:type="spellEnd"/>
      <w:r w:rsidRPr="00557322">
        <w:rPr>
          <w:rFonts w:ascii="Arial" w:hAnsi="Arial" w:cs="Arial"/>
          <w:b/>
          <w:bCs/>
        </w:rPr>
        <w:t xml:space="preserve"> sezóně</w:t>
      </w:r>
      <w:r w:rsidR="001D0CA5" w:rsidRPr="00557322">
        <w:rPr>
          <w:rFonts w:ascii="Arial" w:hAnsi="Arial" w:cs="Arial"/>
          <w:b/>
          <w:bCs/>
        </w:rPr>
        <w:t>.</w:t>
      </w:r>
      <w:r w:rsidR="001D0CA5" w:rsidRPr="00557322">
        <w:rPr>
          <w:rFonts w:ascii="Arial" w:hAnsi="Arial" w:cs="Arial"/>
        </w:rPr>
        <w:t xml:space="preserve"> Evropské zásobníky plynu vstupují do léta </w:t>
      </w:r>
      <w:r w:rsidRPr="00557322">
        <w:rPr>
          <w:rFonts w:ascii="Arial" w:hAnsi="Arial" w:cs="Arial"/>
        </w:rPr>
        <w:t>naplněné méně</w:t>
      </w:r>
      <w:r w:rsidR="001D0CA5" w:rsidRPr="00557322">
        <w:rPr>
          <w:rFonts w:ascii="Arial" w:hAnsi="Arial" w:cs="Arial"/>
        </w:rPr>
        <w:t>, než je obvyklé. Dostat se z</w:t>
      </w:r>
      <w:r w:rsidR="00F7222D" w:rsidRPr="00557322">
        <w:rPr>
          <w:rFonts w:ascii="Arial" w:hAnsi="Arial" w:cs="Arial"/>
        </w:rPr>
        <w:t xml:space="preserve"> aktuálních </w:t>
      </w:r>
      <w:r w:rsidR="001D0CA5" w:rsidRPr="00557322">
        <w:rPr>
          <w:rFonts w:ascii="Arial" w:hAnsi="Arial" w:cs="Arial"/>
        </w:rPr>
        <w:t>přibližně 4</w:t>
      </w:r>
      <w:r w:rsidR="00791EE9" w:rsidRPr="00557322">
        <w:rPr>
          <w:rFonts w:ascii="Arial" w:hAnsi="Arial" w:cs="Arial"/>
        </w:rPr>
        <w:t>8</w:t>
      </w:r>
      <w:r w:rsidR="001D0CA5" w:rsidRPr="00557322">
        <w:rPr>
          <w:rFonts w:ascii="Arial" w:hAnsi="Arial" w:cs="Arial"/>
        </w:rPr>
        <w:t xml:space="preserve"> procent naplnění na cílových 80 procent do začátku listopadu znamená nakoupit velmi vysoké objemy </w:t>
      </w:r>
      <w:r w:rsidR="001D0CA5" w:rsidRPr="00557322">
        <w:rPr>
          <w:rFonts w:ascii="Arial" w:hAnsi="Arial" w:cs="Arial"/>
        </w:rPr>
        <w:lastRenderedPageBreak/>
        <w:t>plynu v krátkém čase. Tato poptávka vytváří cenovou „podlahu“, která je přítomna ve všech scénářích.</w:t>
      </w:r>
    </w:p>
    <w:p w14:paraId="7C82D248" w14:textId="02C454B5" w:rsidR="001D0CA5" w:rsidRPr="00557322" w:rsidRDefault="001D0CA5" w:rsidP="001D0CA5">
      <w:pPr>
        <w:pStyle w:val="Odstavecseseznamem"/>
        <w:numPr>
          <w:ilvl w:val="0"/>
          <w:numId w:val="1"/>
        </w:numPr>
        <w:rPr>
          <w:rFonts w:ascii="Arial" w:hAnsi="Arial" w:cs="Arial"/>
        </w:rPr>
      </w:pPr>
      <w:r w:rsidRPr="00557322">
        <w:rPr>
          <w:rFonts w:ascii="Arial" w:hAnsi="Arial" w:cs="Arial"/>
          <w:b/>
          <w:bCs/>
        </w:rPr>
        <w:t>Sucho a omezení jaderného chlazení.</w:t>
      </w:r>
      <w:r w:rsidRPr="00557322">
        <w:rPr>
          <w:rFonts w:ascii="Arial" w:hAnsi="Arial" w:cs="Arial"/>
        </w:rPr>
        <w:t xml:space="preserve"> Vysoké teploty a nízké průtoky řek mohou omezovat výkon jaderných elektráren ve Francii a Švýcarsku. Už nyní analýz</w:t>
      </w:r>
      <w:r w:rsidR="00C16461" w:rsidRPr="00557322">
        <w:rPr>
          <w:rFonts w:ascii="Arial" w:hAnsi="Arial" w:cs="Arial"/>
        </w:rPr>
        <w:t>a</w:t>
      </w:r>
      <w:r w:rsidRPr="00557322">
        <w:rPr>
          <w:rFonts w:ascii="Arial" w:hAnsi="Arial" w:cs="Arial"/>
        </w:rPr>
        <w:t xml:space="preserve"> pracuje </w:t>
      </w:r>
      <w:r w:rsidR="00C16461" w:rsidRPr="00557322">
        <w:rPr>
          <w:rFonts w:ascii="Arial" w:hAnsi="Arial" w:cs="Arial"/>
        </w:rPr>
        <w:br/>
      </w:r>
      <w:r w:rsidRPr="00557322">
        <w:rPr>
          <w:rFonts w:ascii="Arial" w:hAnsi="Arial" w:cs="Arial"/>
        </w:rPr>
        <w:t>s omezením francouzských zdrojů o 4,1 GW; při delším suchu by se nutnost nahrazovat jadernou výrobu plynem ještě zvýšila.</w:t>
      </w:r>
    </w:p>
    <w:p w14:paraId="41CA0825" w14:textId="161652E3" w:rsidR="001D0CA5" w:rsidRPr="00557322" w:rsidRDefault="001D0CA5" w:rsidP="001D0CA5">
      <w:pPr>
        <w:pStyle w:val="Odstavecseseznamem"/>
        <w:numPr>
          <w:ilvl w:val="0"/>
          <w:numId w:val="1"/>
        </w:numPr>
        <w:rPr>
          <w:rFonts w:ascii="Arial" w:hAnsi="Arial" w:cs="Arial"/>
        </w:rPr>
      </w:pPr>
      <w:r w:rsidRPr="00557322">
        <w:rPr>
          <w:rFonts w:ascii="Arial" w:hAnsi="Arial" w:cs="Arial"/>
          <w:b/>
          <w:bCs/>
        </w:rPr>
        <w:t>Nižší výroba</w:t>
      </w:r>
      <w:r w:rsidR="00C16461" w:rsidRPr="00557322">
        <w:rPr>
          <w:rFonts w:ascii="Arial" w:hAnsi="Arial" w:cs="Arial"/>
          <w:b/>
          <w:bCs/>
        </w:rPr>
        <w:t xml:space="preserve"> z vody</w:t>
      </w:r>
      <w:r w:rsidRPr="00557322">
        <w:rPr>
          <w:rFonts w:ascii="Arial" w:hAnsi="Arial" w:cs="Arial"/>
          <w:b/>
          <w:bCs/>
        </w:rPr>
        <w:t>.</w:t>
      </w:r>
      <w:r w:rsidRPr="00557322">
        <w:rPr>
          <w:rFonts w:ascii="Arial" w:hAnsi="Arial" w:cs="Arial"/>
        </w:rPr>
        <w:t xml:space="preserve"> Slabší zásoby vody v nádržích snižují </w:t>
      </w:r>
      <w:r w:rsidR="001F4B40" w:rsidRPr="00557322">
        <w:rPr>
          <w:rFonts w:ascii="Arial" w:hAnsi="Arial" w:cs="Arial"/>
        </w:rPr>
        <w:t>možnost zapoj</w:t>
      </w:r>
      <w:r w:rsidR="00035BB3" w:rsidRPr="00557322">
        <w:rPr>
          <w:rFonts w:ascii="Arial" w:hAnsi="Arial" w:cs="Arial"/>
        </w:rPr>
        <w:t>e</w:t>
      </w:r>
      <w:r w:rsidR="001F4B40" w:rsidRPr="00557322">
        <w:rPr>
          <w:rFonts w:ascii="Arial" w:hAnsi="Arial" w:cs="Arial"/>
        </w:rPr>
        <w:t>ní</w:t>
      </w:r>
      <w:r w:rsidRPr="00557322">
        <w:rPr>
          <w:rFonts w:ascii="Arial" w:hAnsi="Arial" w:cs="Arial"/>
        </w:rPr>
        <w:t xml:space="preserve"> hydroelektráren, zejména ve Francii a v alpském regionu. Pokud by se přidala i omezení exportů ze Skandinávie</w:t>
      </w:r>
      <w:r w:rsidR="00362330" w:rsidRPr="00557322">
        <w:rPr>
          <w:rFonts w:ascii="Arial" w:hAnsi="Arial" w:cs="Arial"/>
        </w:rPr>
        <w:t xml:space="preserve"> do </w:t>
      </w:r>
      <w:r w:rsidR="00EE2F0C" w:rsidRPr="00557322">
        <w:rPr>
          <w:rFonts w:ascii="Arial" w:hAnsi="Arial" w:cs="Arial"/>
        </w:rPr>
        <w:t>V</w:t>
      </w:r>
      <w:r w:rsidR="00362330" w:rsidRPr="00557322">
        <w:rPr>
          <w:rFonts w:ascii="Arial" w:hAnsi="Arial" w:cs="Arial"/>
        </w:rPr>
        <w:t>elké Británie</w:t>
      </w:r>
      <w:r w:rsidRPr="00557322">
        <w:rPr>
          <w:rFonts w:ascii="Arial" w:hAnsi="Arial" w:cs="Arial"/>
        </w:rPr>
        <w:t xml:space="preserve">, evropská soustava by </w:t>
      </w:r>
      <w:r w:rsidR="008F3C01" w:rsidRPr="00557322">
        <w:rPr>
          <w:rFonts w:ascii="Arial" w:hAnsi="Arial" w:cs="Arial"/>
        </w:rPr>
        <w:t xml:space="preserve">musela doplnit výpadek </w:t>
      </w:r>
      <w:r w:rsidR="00EE2F0C" w:rsidRPr="00557322">
        <w:rPr>
          <w:rFonts w:ascii="Arial" w:hAnsi="Arial" w:cs="Arial"/>
        </w:rPr>
        <w:t>elektřiny</w:t>
      </w:r>
      <w:r w:rsidR="00FE4D97" w:rsidRPr="00557322">
        <w:rPr>
          <w:rFonts w:ascii="Arial" w:hAnsi="Arial" w:cs="Arial"/>
        </w:rPr>
        <w:t>.</w:t>
      </w:r>
    </w:p>
    <w:p w14:paraId="7EA7542C" w14:textId="4127BA64" w:rsidR="001D0CA5" w:rsidRPr="00557322" w:rsidRDefault="001D0CA5" w:rsidP="001D0CA5">
      <w:pPr>
        <w:pStyle w:val="Odstavecseseznamem"/>
        <w:numPr>
          <w:ilvl w:val="0"/>
          <w:numId w:val="1"/>
        </w:numPr>
        <w:rPr>
          <w:rFonts w:ascii="Arial" w:hAnsi="Arial" w:cs="Arial"/>
        </w:rPr>
      </w:pPr>
      <w:r w:rsidRPr="00557322">
        <w:rPr>
          <w:rFonts w:ascii="Arial" w:hAnsi="Arial" w:cs="Arial"/>
          <w:b/>
          <w:bCs/>
        </w:rPr>
        <w:t>Ceny emisních povolenek.</w:t>
      </w:r>
      <w:r w:rsidRPr="00557322">
        <w:rPr>
          <w:rFonts w:ascii="Arial" w:hAnsi="Arial" w:cs="Arial"/>
        </w:rPr>
        <w:t xml:space="preserve"> </w:t>
      </w:r>
      <w:r w:rsidR="00533302" w:rsidRPr="00557322">
        <w:rPr>
          <w:rFonts w:ascii="Arial" w:hAnsi="Arial" w:cs="Arial"/>
        </w:rPr>
        <w:t>Cena p</w:t>
      </w:r>
      <w:r w:rsidRPr="00557322">
        <w:rPr>
          <w:rFonts w:ascii="Arial" w:hAnsi="Arial" w:cs="Arial"/>
        </w:rPr>
        <w:t>ovolenky EU</w:t>
      </w:r>
      <w:r w:rsidR="00533302" w:rsidRPr="00557322">
        <w:rPr>
          <w:rFonts w:ascii="Arial" w:hAnsi="Arial" w:cs="Arial"/>
        </w:rPr>
        <w:t xml:space="preserve"> ETS</w:t>
      </w:r>
      <w:r w:rsidRPr="00557322">
        <w:rPr>
          <w:rFonts w:ascii="Arial" w:hAnsi="Arial" w:cs="Arial"/>
        </w:rPr>
        <w:t xml:space="preserve"> </w:t>
      </w:r>
      <w:r w:rsidR="00533302" w:rsidRPr="00557322">
        <w:rPr>
          <w:rFonts w:ascii="Arial" w:hAnsi="Arial" w:cs="Arial"/>
        </w:rPr>
        <w:t xml:space="preserve">opravňující podniky k vypuštění jedné </w:t>
      </w:r>
      <w:r w:rsidR="00631173" w:rsidRPr="00557322">
        <w:rPr>
          <w:rFonts w:ascii="Arial" w:hAnsi="Arial" w:cs="Arial"/>
        </w:rPr>
        <w:t>tuny oxidu uhličitého (C</w:t>
      </w:r>
      <w:r w:rsidR="00523267" w:rsidRPr="00557322">
        <w:rPr>
          <w:rFonts w:ascii="Arial" w:hAnsi="Arial" w:cs="Arial"/>
        </w:rPr>
        <w:t>O</w:t>
      </w:r>
      <w:r w:rsidR="00631173" w:rsidRPr="00557322">
        <w:rPr>
          <w:rFonts w:ascii="Arial" w:hAnsi="Arial" w:cs="Arial"/>
          <w:vertAlign w:val="subscript"/>
        </w:rPr>
        <w:t>2</w:t>
      </w:r>
      <w:r w:rsidR="00631173" w:rsidRPr="00557322">
        <w:rPr>
          <w:rFonts w:ascii="Arial" w:hAnsi="Arial" w:cs="Arial"/>
        </w:rPr>
        <w:t xml:space="preserve">), případně ekvivalentu jiné škodliviny </w:t>
      </w:r>
      <w:r w:rsidR="00294935" w:rsidRPr="00557322">
        <w:rPr>
          <w:rFonts w:ascii="Arial" w:hAnsi="Arial" w:cs="Arial"/>
        </w:rPr>
        <w:t>do ovzduší</w:t>
      </w:r>
      <w:r w:rsidR="00035BB3" w:rsidRPr="00557322">
        <w:rPr>
          <w:rFonts w:ascii="Arial" w:hAnsi="Arial" w:cs="Arial"/>
        </w:rPr>
        <w:t>,</w:t>
      </w:r>
      <w:r w:rsidR="00294935" w:rsidRPr="00557322">
        <w:rPr>
          <w:rFonts w:ascii="Arial" w:hAnsi="Arial" w:cs="Arial"/>
        </w:rPr>
        <w:t xml:space="preserve"> </w:t>
      </w:r>
      <w:r w:rsidRPr="00557322">
        <w:rPr>
          <w:rFonts w:ascii="Arial" w:hAnsi="Arial" w:cs="Arial"/>
        </w:rPr>
        <w:t>se pohybuj</w:t>
      </w:r>
      <w:r w:rsidR="00035BB3" w:rsidRPr="00557322">
        <w:rPr>
          <w:rFonts w:ascii="Arial" w:hAnsi="Arial" w:cs="Arial"/>
        </w:rPr>
        <w:t>e</w:t>
      </w:r>
      <w:r w:rsidRPr="00557322">
        <w:rPr>
          <w:rFonts w:ascii="Arial" w:hAnsi="Arial" w:cs="Arial"/>
        </w:rPr>
        <w:t xml:space="preserve"> kolem 75 až 80 EUR za tunu a </w:t>
      </w:r>
      <w:r w:rsidR="00294935" w:rsidRPr="00557322">
        <w:rPr>
          <w:rFonts w:ascii="Arial" w:hAnsi="Arial" w:cs="Arial"/>
        </w:rPr>
        <w:t>její</w:t>
      </w:r>
      <w:r w:rsidRPr="00557322">
        <w:rPr>
          <w:rFonts w:ascii="Arial" w:hAnsi="Arial" w:cs="Arial"/>
        </w:rPr>
        <w:t xml:space="preserve"> růst zdražuje výrobu </w:t>
      </w:r>
      <w:r w:rsidR="00294935" w:rsidRPr="00557322">
        <w:rPr>
          <w:rFonts w:ascii="Arial" w:hAnsi="Arial" w:cs="Arial"/>
        </w:rPr>
        <w:t xml:space="preserve">elektřiny </w:t>
      </w:r>
      <w:r w:rsidRPr="00557322">
        <w:rPr>
          <w:rFonts w:ascii="Arial" w:hAnsi="Arial" w:cs="Arial"/>
        </w:rPr>
        <w:t>z fosilních zdrojů. Každých 10 EUR za tunu navíc může podle modelu znamenat přibližně 3 až 4 EUR/</w:t>
      </w:r>
      <w:proofErr w:type="spellStart"/>
      <w:r w:rsidRPr="00557322">
        <w:rPr>
          <w:rFonts w:ascii="Arial" w:hAnsi="Arial" w:cs="Arial"/>
        </w:rPr>
        <w:t>MWh</w:t>
      </w:r>
      <w:proofErr w:type="spellEnd"/>
      <w:r w:rsidRPr="00557322">
        <w:rPr>
          <w:rFonts w:ascii="Arial" w:hAnsi="Arial" w:cs="Arial"/>
        </w:rPr>
        <w:t xml:space="preserve"> v ceně elektřiny.</w:t>
      </w:r>
    </w:p>
    <w:p w14:paraId="745508ED" w14:textId="0E138151" w:rsidR="001D0CA5" w:rsidRPr="00557322" w:rsidRDefault="001D0CA5" w:rsidP="001D0CA5">
      <w:pPr>
        <w:pStyle w:val="Odstavecseseznamem"/>
        <w:numPr>
          <w:ilvl w:val="0"/>
          <w:numId w:val="1"/>
        </w:numPr>
        <w:rPr>
          <w:rFonts w:ascii="Arial" w:hAnsi="Arial" w:cs="Arial"/>
        </w:rPr>
      </w:pPr>
      <w:r w:rsidRPr="00557322">
        <w:rPr>
          <w:rFonts w:ascii="Arial" w:hAnsi="Arial" w:cs="Arial"/>
          <w:b/>
          <w:bCs/>
        </w:rPr>
        <w:t>Větrná variabilita.</w:t>
      </w:r>
      <w:r w:rsidRPr="00557322">
        <w:rPr>
          <w:rFonts w:ascii="Arial" w:hAnsi="Arial" w:cs="Arial"/>
        </w:rPr>
        <w:t xml:space="preserve"> Vítr tvoří významnou část evropského</w:t>
      </w:r>
      <w:r w:rsidR="002E56F5" w:rsidRPr="00557322">
        <w:rPr>
          <w:rFonts w:ascii="Arial" w:hAnsi="Arial" w:cs="Arial"/>
        </w:rPr>
        <w:t xml:space="preserve"> energetického</w:t>
      </w:r>
      <w:r w:rsidRPr="00557322">
        <w:rPr>
          <w:rFonts w:ascii="Arial" w:hAnsi="Arial" w:cs="Arial"/>
        </w:rPr>
        <w:t xml:space="preserve"> výrobního mixu, ale </w:t>
      </w:r>
      <w:r w:rsidR="00E929B0" w:rsidRPr="00557322">
        <w:rPr>
          <w:rFonts w:ascii="Arial" w:hAnsi="Arial" w:cs="Arial"/>
        </w:rPr>
        <w:br/>
      </w:r>
      <w:r w:rsidRPr="00557322">
        <w:rPr>
          <w:rFonts w:ascii="Arial" w:hAnsi="Arial" w:cs="Arial"/>
        </w:rPr>
        <w:t>v době letních anticyklon se často potkává vedro s bezvětřím. Slabá větrnost tak nepůsobí izolovaně: zesiluje dopad sucha, jaderných omezení i dražší plynové výroby.</w:t>
      </w:r>
    </w:p>
    <w:p w14:paraId="1670871E" w14:textId="614D4075" w:rsidR="002F73EF" w:rsidRPr="00557322" w:rsidRDefault="001D0CA5" w:rsidP="002F73EF">
      <w:pPr>
        <w:pStyle w:val="Odstavecseseznamem"/>
        <w:numPr>
          <w:ilvl w:val="0"/>
          <w:numId w:val="1"/>
        </w:numPr>
        <w:rPr>
          <w:rFonts w:ascii="Arial" w:hAnsi="Arial" w:cs="Arial"/>
        </w:rPr>
      </w:pPr>
      <w:r w:rsidRPr="00557322">
        <w:rPr>
          <w:rFonts w:ascii="Arial" w:hAnsi="Arial" w:cs="Arial"/>
          <w:b/>
          <w:bCs/>
        </w:rPr>
        <w:t>Makroekonomika a poptávka.</w:t>
      </w:r>
      <w:r w:rsidRPr="00557322">
        <w:rPr>
          <w:rFonts w:ascii="Arial" w:hAnsi="Arial" w:cs="Arial"/>
        </w:rPr>
        <w:t xml:space="preserve"> Průmyslová poptávka, úrokové sazby a celkový ekonomický výkon mohou</w:t>
      </w:r>
      <w:r w:rsidR="002E3584" w:rsidRPr="00557322">
        <w:rPr>
          <w:rFonts w:ascii="Arial" w:hAnsi="Arial" w:cs="Arial"/>
        </w:rPr>
        <w:t xml:space="preserve"> růst</w:t>
      </w:r>
      <w:r w:rsidRPr="00557322">
        <w:rPr>
          <w:rFonts w:ascii="Arial" w:hAnsi="Arial" w:cs="Arial"/>
        </w:rPr>
        <w:t xml:space="preserve"> cen</w:t>
      </w:r>
      <w:r w:rsidR="002E3584" w:rsidRPr="00557322">
        <w:rPr>
          <w:rFonts w:ascii="Arial" w:hAnsi="Arial" w:cs="Arial"/>
        </w:rPr>
        <w:t>y</w:t>
      </w:r>
      <w:r w:rsidRPr="00557322">
        <w:rPr>
          <w:rFonts w:ascii="Arial" w:hAnsi="Arial" w:cs="Arial"/>
        </w:rPr>
        <w:t xml:space="preserve"> buď podpořit, nebo naopak tlumit. V optimistickém scénáři může slabší </w:t>
      </w:r>
      <w:r w:rsidR="00DE77EF" w:rsidRPr="00557322">
        <w:rPr>
          <w:rFonts w:ascii="Arial" w:hAnsi="Arial" w:cs="Arial"/>
        </w:rPr>
        <w:t xml:space="preserve">výkon </w:t>
      </w:r>
      <w:r w:rsidRPr="00557322">
        <w:rPr>
          <w:rFonts w:ascii="Arial" w:hAnsi="Arial" w:cs="Arial"/>
        </w:rPr>
        <w:t>průmysl</w:t>
      </w:r>
      <w:r w:rsidR="00DE77EF" w:rsidRPr="00557322">
        <w:rPr>
          <w:rFonts w:ascii="Arial" w:hAnsi="Arial" w:cs="Arial"/>
        </w:rPr>
        <w:t>u</w:t>
      </w:r>
      <w:r w:rsidRPr="00557322">
        <w:rPr>
          <w:rFonts w:ascii="Arial" w:hAnsi="Arial" w:cs="Arial"/>
        </w:rPr>
        <w:t xml:space="preserve"> snížit spotřebu a zmírnit tlak na ceny; v pesimistickém scénáři však vyšší náklady a nejistota </w:t>
      </w:r>
      <w:r w:rsidR="001068A2" w:rsidRPr="00557322">
        <w:rPr>
          <w:rFonts w:ascii="Arial" w:hAnsi="Arial" w:cs="Arial"/>
        </w:rPr>
        <w:t>ovlivňují ceny</w:t>
      </w:r>
      <w:r w:rsidRPr="00557322">
        <w:rPr>
          <w:rFonts w:ascii="Arial" w:hAnsi="Arial" w:cs="Arial"/>
        </w:rPr>
        <w:t xml:space="preserve"> </w:t>
      </w:r>
      <w:r w:rsidR="001068A2" w:rsidRPr="00557322">
        <w:rPr>
          <w:rFonts w:ascii="Arial" w:hAnsi="Arial" w:cs="Arial"/>
        </w:rPr>
        <w:t>d</w:t>
      </w:r>
      <w:r w:rsidRPr="00557322">
        <w:rPr>
          <w:rFonts w:ascii="Arial" w:hAnsi="Arial" w:cs="Arial"/>
        </w:rPr>
        <w:t>éle.</w:t>
      </w:r>
    </w:p>
    <w:p w14:paraId="3354C316" w14:textId="657A7C1B" w:rsidR="006E5DD8" w:rsidRPr="00557322" w:rsidRDefault="00216F7C">
      <w:pPr>
        <w:pStyle w:val="Nadpis2"/>
        <w:rPr>
          <w:rFonts w:ascii="Arial" w:hAnsi="Arial" w:cs="Arial"/>
          <w:sz w:val="22"/>
          <w:szCs w:val="22"/>
        </w:rPr>
      </w:pPr>
      <w:r w:rsidRPr="00557322">
        <w:rPr>
          <w:rFonts w:ascii="Arial" w:hAnsi="Arial" w:cs="Arial"/>
          <w:sz w:val="22"/>
          <w:szCs w:val="22"/>
        </w:rPr>
        <w:t xml:space="preserve">Co to znamená pro </w:t>
      </w:r>
      <w:r w:rsidR="00C35805" w:rsidRPr="00557322">
        <w:rPr>
          <w:rFonts w:ascii="Arial" w:hAnsi="Arial" w:cs="Arial"/>
          <w:sz w:val="22"/>
          <w:szCs w:val="22"/>
        </w:rPr>
        <w:t>odběratele</w:t>
      </w:r>
    </w:p>
    <w:p w14:paraId="49BAD584" w14:textId="5438E76B" w:rsidR="000E62E6" w:rsidRPr="00557322" w:rsidRDefault="000E62E6" w:rsidP="00BC4D7C">
      <w:pPr>
        <w:rPr>
          <w:rFonts w:ascii="Arial" w:hAnsi="Arial" w:cs="Arial"/>
          <w:lang w:eastAsia="cs-CZ"/>
        </w:rPr>
      </w:pPr>
      <w:r w:rsidRPr="00557322">
        <w:rPr>
          <w:rFonts w:ascii="Arial" w:hAnsi="Arial" w:cs="Arial"/>
        </w:rPr>
        <w:t>Trh s elektřinou pro rok 2027 vstupuje do období zvýšené nejistoty. Rizika se netýkají jen jedné události, ale jejich kombinace: geopolitiky, stavu plynových zásobníků, počasí, dostupnosti jaderných a vodních zdrojů, cen povolenek, větrné výroby a ekonomické poptávky. Právě proto dává v současné situaci fixace ceny znovu smysl jako praktická pojistka proti dalšímu růstu</w:t>
      </w:r>
      <w:r w:rsidR="00736F8C" w:rsidRPr="00557322">
        <w:rPr>
          <w:rFonts w:ascii="Arial" w:hAnsi="Arial" w:cs="Arial"/>
        </w:rPr>
        <w:t xml:space="preserve"> nákladů</w:t>
      </w:r>
      <w:r w:rsidR="00BD0EC4" w:rsidRPr="00557322">
        <w:rPr>
          <w:rFonts w:ascii="Arial" w:hAnsi="Arial" w:cs="Arial"/>
        </w:rPr>
        <w:t xml:space="preserve"> na energie</w:t>
      </w:r>
      <w:r w:rsidRPr="00557322">
        <w:rPr>
          <w:rFonts w:ascii="Arial" w:hAnsi="Arial" w:cs="Arial"/>
        </w:rPr>
        <w:t>.</w:t>
      </w:r>
      <w:r w:rsidR="00C815DD" w:rsidRPr="00557322">
        <w:rPr>
          <w:rFonts w:ascii="Arial" w:hAnsi="Arial" w:cs="Arial"/>
        </w:rPr>
        <w:t xml:space="preserve"> A modelové scénáře ukazují, že pro fixac</w:t>
      </w:r>
      <w:r w:rsidR="00AA0570" w:rsidRPr="00557322">
        <w:rPr>
          <w:rFonts w:ascii="Arial" w:hAnsi="Arial" w:cs="Arial"/>
        </w:rPr>
        <w:t xml:space="preserve">e cen je </w:t>
      </w:r>
      <w:r w:rsidR="00AC3D2E" w:rsidRPr="00557322">
        <w:rPr>
          <w:rFonts w:ascii="Arial" w:hAnsi="Arial" w:cs="Arial"/>
        </w:rPr>
        <w:t>pořád</w:t>
      </w:r>
      <w:r w:rsidR="00BD0EC4" w:rsidRPr="00557322">
        <w:rPr>
          <w:rFonts w:ascii="Arial" w:hAnsi="Arial" w:cs="Arial"/>
        </w:rPr>
        <w:t xml:space="preserve"> ještě vhodný</w:t>
      </w:r>
      <w:r w:rsidR="00AA0570" w:rsidRPr="00557322">
        <w:rPr>
          <w:rFonts w:ascii="Arial" w:hAnsi="Arial" w:cs="Arial"/>
        </w:rPr>
        <w:t xml:space="preserve"> čas.</w:t>
      </w:r>
    </w:p>
    <w:p w14:paraId="030B2109" w14:textId="77777777" w:rsidR="006C265B" w:rsidRPr="00557322" w:rsidRDefault="00971439" w:rsidP="00E62A67">
      <w:pPr>
        <w:rPr>
          <w:rFonts w:ascii="Arial" w:hAnsi="Arial" w:cs="Arial"/>
        </w:rPr>
      </w:pPr>
      <w:r w:rsidRPr="00557322">
        <w:rPr>
          <w:rFonts w:ascii="Arial" w:hAnsi="Arial" w:cs="Arial"/>
        </w:rPr>
        <w:t>Jedinou spolehlivou ochranou domácností před růstem cen energií je smlouva na dobu určitou s</w:t>
      </w:r>
      <w:r w:rsidR="00007EF2" w:rsidRPr="00557322">
        <w:rPr>
          <w:rFonts w:ascii="Arial" w:hAnsi="Arial" w:cs="Arial"/>
        </w:rPr>
        <w:t xml:space="preserve"> </w:t>
      </w:r>
      <w:r w:rsidRPr="00557322">
        <w:rPr>
          <w:rFonts w:ascii="Arial" w:hAnsi="Arial" w:cs="Arial"/>
        </w:rPr>
        <w:t>fixací ceny. Z</w:t>
      </w:r>
      <w:r w:rsidR="00007EF2" w:rsidRPr="00557322">
        <w:rPr>
          <w:rFonts w:ascii="Arial" w:hAnsi="Arial" w:cs="Arial"/>
        </w:rPr>
        <w:t xml:space="preserve"> </w:t>
      </w:r>
      <w:r w:rsidRPr="00557322">
        <w:rPr>
          <w:rFonts w:ascii="Arial" w:hAnsi="Arial" w:cs="Arial"/>
        </w:rPr>
        <w:t xml:space="preserve">výše </w:t>
      </w:r>
      <w:r w:rsidR="00007EF2" w:rsidRPr="00557322">
        <w:rPr>
          <w:rFonts w:ascii="Arial" w:hAnsi="Arial" w:cs="Arial"/>
        </w:rPr>
        <w:t>uvedených</w:t>
      </w:r>
      <w:r w:rsidRPr="00557322">
        <w:rPr>
          <w:rFonts w:ascii="Arial" w:hAnsi="Arial" w:cs="Arial"/>
        </w:rPr>
        <w:t xml:space="preserve"> důvodů by doba fixace měla být </w:t>
      </w:r>
      <w:r w:rsidR="00007EF2" w:rsidRPr="00557322">
        <w:rPr>
          <w:rFonts w:ascii="Arial" w:hAnsi="Arial" w:cs="Arial"/>
        </w:rPr>
        <w:t xml:space="preserve">co </w:t>
      </w:r>
      <w:r w:rsidRPr="00557322">
        <w:rPr>
          <w:rFonts w:ascii="Arial" w:hAnsi="Arial" w:cs="Arial"/>
        </w:rPr>
        <w:t>nejdelší</w:t>
      </w:r>
      <w:r w:rsidR="00007EF2" w:rsidRPr="00557322">
        <w:rPr>
          <w:rFonts w:ascii="Arial" w:hAnsi="Arial" w:cs="Arial"/>
        </w:rPr>
        <w:t>, tedy ideálně na tři roky</w:t>
      </w:r>
      <w:r w:rsidR="001A2516" w:rsidRPr="00557322">
        <w:rPr>
          <w:rFonts w:ascii="Arial" w:hAnsi="Arial" w:cs="Arial"/>
        </w:rPr>
        <w:t xml:space="preserve"> – do koncové ceny se tak promítne stále ještě nižší cena vzdálenějšího zajištění</w:t>
      </w:r>
      <w:r w:rsidR="00A37DE4" w:rsidRPr="00557322">
        <w:rPr>
          <w:rFonts w:ascii="Arial" w:hAnsi="Arial" w:cs="Arial"/>
        </w:rPr>
        <w:t xml:space="preserve"> (CAL-2028)</w:t>
      </w:r>
      <w:r w:rsidR="009C56A5" w:rsidRPr="00557322">
        <w:rPr>
          <w:rFonts w:ascii="Arial" w:hAnsi="Arial" w:cs="Arial"/>
        </w:rPr>
        <w:t xml:space="preserve">. </w:t>
      </w:r>
      <w:r w:rsidRPr="00557322">
        <w:rPr>
          <w:rFonts w:ascii="Arial" w:hAnsi="Arial" w:cs="Arial"/>
        </w:rPr>
        <w:t>Rozhodně alespoň u elektřiny</w:t>
      </w:r>
      <w:r w:rsidR="00007EF2" w:rsidRPr="00557322">
        <w:rPr>
          <w:rFonts w:ascii="Arial" w:hAnsi="Arial" w:cs="Arial"/>
        </w:rPr>
        <w:t>;</w:t>
      </w:r>
      <w:r w:rsidRPr="00557322">
        <w:rPr>
          <w:rFonts w:ascii="Arial" w:hAnsi="Arial" w:cs="Arial"/>
        </w:rPr>
        <w:t xml:space="preserve"> u plynu nejméně na dva roky, ale ani tříletá fixace nebude chybou. Jistota pevné ceny při případném růstu má vyšší přidanou hodnotu než možná drobná úspora, pokud by velkoobchodní cena krátkodobě klesla. </w:t>
      </w:r>
    </w:p>
    <w:p w14:paraId="13CF36C0" w14:textId="68917578" w:rsidR="00141272" w:rsidRPr="00557322" w:rsidRDefault="00971439" w:rsidP="00E62A67">
      <w:pPr>
        <w:rPr>
          <w:rFonts w:ascii="Arial" w:hAnsi="Arial" w:cs="Arial"/>
        </w:rPr>
      </w:pPr>
      <w:proofErr w:type="gramStart"/>
      <w:r w:rsidRPr="00557322">
        <w:rPr>
          <w:rFonts w:ascii="Arial" w:hAnsi="Arial" w:cs="Arial"/>
        </w:rPr>
        <w:t>Ještě</w:t>
      </w:r>
      <w:proofErr w:type="gramEnd"/>
      <w:r w:rsidRPr="00557322">
        <w:rPr>
          <w:rFonts w:ascii="Arial" w:hAnsi="Arial" w:cs="Arial"/>
        </w:rPr>
        <w:t xml:space="preserve"> než vyrazíte vstříc dovolenkovým zážitkům, najděte si chvilku na porovnání nabídek a sjednejte si smlouvu na elektřinu a plyn s</w:t>
      </w:r>
      <w:r w:rsidR="00007EF2" w:rsidRPr="00557322">
        <w:rPr>
          <w:rFonts w:ascii="Arial" w:hAnsi="Arial" w:cs="Arial"/>
        </w:rPr>
        <w:t xml:space="preserve"> </w:t>
      </w:r>
      <w:r w:rsidRPr="00557322">
        <w:rPr>
          <w:rFonts w:ascii="Arial" w:hAnsi="Arial" w:cs="Arial"/>
        </w:rPr>
        <w:t xml:space="preserve">fixovanou cenou u spolehlivého dodavatele. </w:t>
      </w:r>
      <w:r w:rsidR="003A1364" w:rsidRPr="00557322">
        <w:rPr>
          <w:rFonts w:ascii="Arial" w:hAnsi="Arial" w:cs="Arial"/>
        </w:rPr>
        <w:t xml:space="preserve">V </w:t>
      </w:r>
      <w:proofErr w:type="spellStart"/>
      <w:r w:rsidRPr="00557322">
        <w:rPr>
          <w:rFonts w:ascii="Arial" w:hAnsi="Arial" w:cs="Arial"/>
        </w:rPr>
        <w:t>Centropolu</w:t>
      </w:r>
      <w:proofErr w:type="spellEnd"/>
      <w:r w:rsidRPr="00557322">
        <w:rPr>
          <w:rFonts w:ascii="Arial" w:hAnsi="Arial" w:cs="Arial"/>
        </w:rPr>
        <w:t xml:space="preserve"> </w:t>
      </w:r>
      <w:r w:rsidR="003A1364" w:rsidRPr="00557322">
        <w:rPr>
          <w:rFonts w:ascii="Arial" w:hAnsi="Arial" w:cs="Arial"/>
        </w:rPr>
        <w:t xml:space="preserve">jsme ceny nezvyšovali a stále jsou </w:t>
      </w:r>
      <w:r w:rsidR="00692FD6" w:rsidRPr="00557322">
        <w:rPr>
          <w:rFonts w:ascii="Arial" w:hAnsi="Arial" w:cs="Arial"/>
        </w:rPr>
        <w:t>na úrovních před začátk</w:t>
      </w:r>
      <w:r w:rsidR="001E680C" w:rsidRPr="00557322">
        <w:rPr>
          <w:rFonts w:ascii="Arial" w:hAnsi="Arial" w:cs="Arial"/>
        </w:rPr>
        <w:t>e</w:t>
      </w:r>
      <w:r w:rsidR="00692FD6" w:rsidRPr="00557322">
        <w:rPr>
          <w:rFonts w:ascii="Arial" w:hAnsi="Arial" w:cs="Arial"/>
        </w:rPr>
        <w:t>m konflik</w:t>
      </w:r>
      <w:r w:rsidR="001E680C" w:rsidRPr="00557322">
        <w:rPr>
          <w:rFonts w:ascii="Arial" w:hAnsi="Arial" w:cs="Arial"/>
        </w:rPr>
        <w:t>t</w:t>
      </w:r>
      <w:r w:rsidR="00692FD6" w:rsidRPr="00557322">
        <w:rPr>
          <w:rFonts w:ascii="Arial" w:hAnsi="Arial" w:cs="Arial"/>
        </w:rPr>
        <w:t>u na Blízkém východě. S cenovou volatilitou kalkulujeme dlouhodobě</w:t>
      </w:r>
      <w:r w:rsidR="00B31A5F" w:rsidRPr="00557322">
        <w:rPr>
          <w:rFonts w:ascii="Arial" w:hAnsi="Arial" w:cs="Arial"/>
        </w:rPr>
        <w:t>,</w:t>
      </w:r>
      <w:r w:rsidR="00692FD6" w:rsidRPr="00557322">
        <w:rPr>
          <w:rFonts w:ascii="Arial" w:hAnsi="Arial" w:cs="Arial"/>
        </w:rPr>
        <w:t xml:space="preserve"> a proto naše zajištění </w:t>
      </w:r>
      <w:r w:rsidR="004B08AF" w:rsidRPr="00557322">
        <w:rPr>
          <w:rFonts w:ascii="Arial" w:hAnsi="Arial" w:cs="Arial"/>
        </w:rPr>
        <w:t>dopřednými nákupy vysoce překračuje požadavky české legislativy na zajištění obchodníků. Využijte toho a</w:t>
      </w:r>
      <w:r w:rsidR="00CC25E8" w:rsidRPr="00557322">
        <w:rPr>
          <w:rFonts w:ascii="Arial" w:hAnsi="Arial" w:cs="Arial"/>
        </w:rPr>
        <w:t xml:space="preserve"> přejděte k </w:t>
      </w:r>
      <w:proofErr w:type="spellStart"/>
      <w:r w:rsidR="00CC25E8" w:rsidRPr="00557322">
        <w:rPr>
          <w:rFonts w:ascii="Arial" w:hAnsi="Arial" w:cs="Arial"/>
        </w:rPr>
        <w:t>Centropolu</w:t>
      </w:r>
      <w:proofErr w:type="spellEnd"/>
      <w:r w:rsidR="00CC25E8" w:rsidRPr="00557322">
        <w:rPr>
          <w:rFonts w:ascii="Arial" w:hAnsi="Arial" w:cs="Arial"/>
        </w:rPr>
        <w:t>.</w:t>
      </w:r>
    </w:p>
    <w:p w14:paraId="1D8E3EEB" w14:textId="77777777" w:rsidR="005F63FF" w:rsidRPr="00557322" w:rsidRDefault="005F63FF" w:rsidP="005F63FF">
      <w:pPr>
        <w:pStyle w:val="Normlnweb"/>
        <w:rPr>
          <w:rStyle w:val="apple-converted-space"/>
          <w:rFonts w:ascii="Arial" w:hAnsi="Arial" w:cs="Arial"/>
          <w:color w:val="000000"/>
        </w:rPr>
      </w:pPr>
      <w:r w:rsidRPr="00557322">
        <w:rPr>
          <w:rFonts w:ascii="Arial" w:eastAsia="Times New Roman" w:hAnsi="Arial" w:cs="Arial"/>
          <w:b/>
          <w:bCs/>
        </w:rPr>
        <w:t>Jiří Matoušek, člen správní rady CENTROPOL ENERGY, a.s.</w:t>
      </w:r>
    </w:p>
    <w:p w14:paraId="5871C58D" w14:textId="77777777" w:rsidR="003979D8" w:rsidRPr="00557322" w:rsidRDefault="003979D8" w:rsidP="00C63B53">
      <w:pPr>
        <w:rPr>
          <w:rFonts w:ascii="Arial" w:hAnsi="Arial" w:cs="Arial"/>
        </w:rPr>
      </w:pPr>
    </w:p>
    <w:p w14:paraId="7CA8007A" w14:textId="38C9F6F4" w:rsidR="007E6F65" w:rsidRPr="00557322" w:rsidRDefault="007E6F65" w:rsidP="00C63B53">
      <w:pPr>
        <w:rPr>
          <w:rFonts w:ascii="Arial" w:hAnsi="Arial" w:cs="Arial"/>
        </w:rPr>
      </w:pPr>
      <w:r w:rsidRPr="00557322">
        <w:rPr>
          <w:rFonts w:ascii="Arial" w:hAnsi="Arial" w:cs="Arial"/>
        </w:rPr>
        <w:t xml:space="preserve">CENTROPOL ENERGY, a.s. je český dodavatel energií s více než 20letou působností a silným finančním zázemím. Patří ke spolehlivým stabilním dodavatelům, v jeho péči je dlouhodobě kolem 300 tisíc odběrných míst z řad domácností, firem </w:t>
      </w:r>
      <w:r w:rsidRPr="00557322">
        <w:rPr>
          <w:rFonts w:ascii="Arial" w:hAnsi="Arial" w:cs="Arial"/>
        </w:rPr>
        <w:br/>
        <w:t xml:space="preserve">i veřejných institucí. </w:t>
      </w:r>
    </w:p>
    <w:p w14:paraId="304FDC48" w14:textId="77777777" w:rsidR="007E6F65" w:rsidRPr="00557322" w:rsidRDefault="007E6F65" w:rsidP="00E62A67">
      <w:pPr>
        <w:rPr>
          <w:rFonts w:ascii="Arial" w:hAnsi="Arial" w:cs="Arial"/>
        </w:rPr>
      </w:pPr>
    </w:p>
    <w:sectPr w:rsidR="007E6F65" w:rsidRPr="00557322">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92D57" w14:textId="77777777" w:rsidR="00D96BAD" w:rsidRDefault="00D96BAD" w:rsidP="002C7213">
      <w:pPr>
        <w:spacing w:after="0" w:line="240" w:lineRule="auto"/>
      </w:pPr>
      <w:r>
        <w:separator/>
      </w:r>
    </w:p>
  </w:endnote>
  <w:endnote w:type="continuationSeparator" w:id="0">
    <w:p w14:paraId="2D47CF06" w14:textId="77777777" w:rsidR="00D96BAD" w:rsidRDefault="00D96BAD" w:rsidP="002C7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CCDFA" w14:textId="77777777" w:rsidR="00D96BAD" w:rsidRDefault="00D96BAD" w:rsidP="002C7213">
      <w:pPr>
        <w:spacing w:after="0" w:line="240" w:lineRule="auto"/>
      </w:pPr>
      <w:r>
        <w:separator/>
      </w:r>
    </w:p>
  </w:footnote>
  <w:footnote w:type="continuationSeparator" w:id="0">
    <w:p w14:paraId="4B3AD712" w14:textId="77777777" w:rsidR="00D96BAD" w:rsidRDefault="00D96BAD" w:rsidP="002C72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C6107" w14:textId="56DDABF5" w:rsidR="002C7213" w:rsidRDefault="002C7213">
    <w:pPr>
      <w:pStyle w:val="Zhlav"/>
    </w:pPr>
    <w:r>
      <w:rPr>
        <w:noProof/>
      </w:rPr>
      <w:drawing>
        <wp:inline distT="0" distB="0" distL="0" distR="0" wp14:anchorId="7EC0F162" wp14:editId="4AF94066">
          <wp:extent cx="2390775" cy="819150"/>
          <wp:effectExtent l="0" t="0" r="0" b="0"/>
          <wp:docPr id="820539195" name="Obrázek 820539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819150"/>
                  </a:xfrm>
                  <a:prstGeom prst="rect">
                    <a:avLst/>
                  </a:prstGeom>
                  <a:noFill/>
                </pic:spPr>
              </pic:pic>
            </a:graphicData>
          </a:graphic>
        </wp:inline>
      </w:drawing>
    </w:r>
  </w:p>
  <w:p w14:paraId="6CB3EE4F" w14:textId="77777777" w:rsidR="002C7213" w:rsidRDefault="002C721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EC2441"/>
    <w:multiLevelType w:val="hybridMultilevel"/>
    <w:tmpl w:val="F8CA1A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3A1742B9"/>
    <w:multiLevelType w:val="multilevel"/>
    <w:tmpl w:val="FFC48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FD6B79"/>
    <w:multiLevelType w:val="hybridMultilevel"/>
    <w:tmpl w:val="7B38A2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67587754">
    <w:abstractNumId w:val="1"/>
  </w:num>
  <w:num w:numId="2" w16cid:durableId="663168266">
    <w:abstractNumId w:val="0"/>
  </w:num>
  <w:num w:numId="3" w16cid:durableId="20071251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DD8"/>
    <w:rsid w:val="00007EF2"/>
    <w:rsid w:val="00024D7B"/>
    <w:rsid w:val="00035BB3"/>
    <w:rsid w:val="000660A5"/>
    <w:rsid w:val="00077ABF"/>
    <w:rsid w:val="000B38DC"/>
    <w:rsid w:val="000B5572"/>
    <w:rsid w:val="000D1F63"/>
    <w:rsid w:val="000D5091"/>
    <w:rsid w:val="000E62E6"/>
    <w:rsid w:val="00106338"/>
    <w:rsid w:val="001068A2"/>
    <w:rsid w:val="00130E71"/>
    <w:rsid w:val="00141272"/>
    <w:rsid w:val="00171012"/>
    <w:rsid w:val="0018333F"/>
    <w:rsid w:val="00195B2E"/>
    <w:rsid w:val="001A0161"/>
    <w:rsid w:val="001A2516"/>
    <w:rsid w:val="001A53F3"/>
    <w:rsid w:val="001D0CA5"/>
    <w:rsid w:val="001E680C"/>
    <w:rsid w:val="001F4B40"/>
    <w:rsid w:val="00216F7C"/>
    <w:rsid w:val="00221AE3"/>
    <w:rsid w:val="0022669C"/>
    <w:rsid w:val="00287FF4"/>
    <w:rsid w:val="00292328"/>
    <w:rsid w:val="00294935"/>
    <w:rsid w:val="002C7213"/>
    <w:rsid w:val="002D1287"/>
    <w:rsid w:val="002D527B"/>
    <w:rsid w:val="002E3584"/>
    <w:rsid w:val="002E56F5"/>
    <w:rsid w:val="002F26F9"/>
    <w:rsid w:val="002F73EF"/>
    <w:rsid w:val="003118E9"/>
    <w:rsid w:val="00313DB6"/>
    <w:rsid w:val="00336258"/>
    <w:rsid w:val="00345FAD"/>
    <w:rsid w:val="00362330"/>
    <w:rsid w:val="00372775"/>
    <w:rsid w:val="00373B2C"/>
    <w:rsid w:val="00390097"/>
    <w:rsid w:val="003979D8"/>
    <w:rsid w:val="003A1364"/>
    <w:rsid w:val="003B13F9"/>
    <w:rsid w:val="003F5CB7"/>
    <w:rsid w:val="00410168"/>
    <w:rsid w:val="00411C1B"/>
    <w:rsid w:val="004318FE"/>
    <w:rsid w:val="00436CBF"/>
    <w:rsid w:val="0044513F"/>
    <w:rsid w:val="00462D34"/>
    <w:rsid w:val="004A6A79"/>
    <w:rsid w:val="004B08AF"/>
    <w:rsid w:val="004B20F1"/>
    <w:rsid w:val="004B29C7"/>
    <w:rsid w:val="0050355C"/>
    <w:rsid w:val="00523267"/>
    <w:rsid w:val="00533302"/>
    <w:rsid w:val="005374AA"/>
    <w:rsid w:val="00537716"/>
    <w:rsid w:val="00557322"/>
    <w:rsid w:val="00563469"/>
    <w:rsid w:val="00597104"/>
    <w:rsid w:val="005B001F"/>
    <w:rsid w:val="005B7690"/>
    <w:rsid w:val="005D5B76"/>
    <w:rsid w:val="005E1A83"/>
    <w:rsid w:val="005E4BA9"/>
    <w:rsid w:val="005F5906"/>
    <w:rsid w:val="005F63FF"/>
    <w:rsid w:val="00631173"/>
    <w:rsid w:val="00671D92"/>
    <w:rsid w:val="00690829"/>
    <w:rsid w:val="00692FD6"/>
    <w:rsid w:val="00693F05"/>
    <w:rsid w:val="0069441F"/>
    <w:rsid w:val="006A4E72"/>
    <w:rsid w:val="006B4BE2"/>
    <w:rsid w:val="006C265B"/>
    <w:rsid w:val="006C3460"/>
    <w:rsid w:val="006E5DD8"/>
    <w:rsid w:val="007307F4"/>
    <w:rsid w:val="00736F8C"/>
    <w:rsid w:val="00740F13"/>
    <w:rsid w:val="00742F10"/>
    <w:rsid w:val="00745FB1"/>
    <w:rsid w:val="00757F8F"/>
    <w:rsid w:val="00761388"/>
    <w:rsid w:val="00771D78"/>
    <w:rsid w:val="00791EE9"/>
    <w:rsid w:val="007949BA"/>
    <w:rsid w:val="007955BC"/>
    <w:rsid w:val="007B6DFA"/>
    <w:rsid w:val="007E19F0"/>
    <w:rsid w:val="007E316F"/>
    <w:rsid w:val="007E6F65"/>
    <w:rsid w:val="007F0EFB"/>
    <w:rsid w:val="007F48B1"/>
    <w:rsid w:val="00827C67"/>
    <w:rsid w:val="00837F0C"/>
    <w:rsid w:val="0084045D"/>
    <w:rsid w:val="008643CA"/>
    <w:rsid w:val="00867CC7"/>
    <w:rsid w:val="00880789"/>
    <w:rsid w:val="00881682"/>
    <w:rsid w:val="00886BEC"/>
    <w:rsid w:val="008A1180"/>
    <w:rsid w:val="008A2BFC"/>
    <w:rsid w:val="008F3C01"/>
    <w:rsid w:val="008F676A"/>
    <w:rsid w:val="00907B07"/>
    <w:rsid w:val="009148D2"/>
    <w:rsid w:val="009302C1"/>
    <w:rsid w:val="00932250"/>
    <w:rsid w:val="00935DBC"/>
    <w:rsid w:val="0093682A"/>
    <w:rsid w:val="00971439"/>
    <w:rsid w:val="009758A5"/>
    <w:rsid w:val="00980349"/>
    <w:rsid w:val="0099157D"/>
    <w:rsid w:val="009A36E5"/>
    <w:rsid w:val="009A466E"/>
    <w:rsid w:val="009A58F9"/>
    <w:rsid w:val="009C5369"/>
    <w:rsid w:val="009C56A5"/>
    <w:rsid w:val="009C7B31"/>
    <w:rsid w:val="009D10A3"/>
    <w:rsid w:val="009E3435"/>
    <w:rsid w:val="00A057DD"/>
    <w:rsid w:val="00A06B7A"/>
    <w:rsid w:val="00A37DE4"/>
    <w:rsid w:val="00A65586"/>
    <w:rsid w:val="00A6686D"/>
    <w:rsid w:val="00A71549"/>
    <w:rsid w:val="00A968C7"/>
    <w:rsid w:val="00AA0570"/>
    <w:rsid w:val="00AA0FFD"/>
    <w:rsid w:val="00AC3D2E"/>
    <w:rsid w:val="00AD39A4"/>
    <w:rsid w:val="00AE5E49"/>
    <w:rsid w:val="00AF24DE"/>
    <w:rsid w:val="00B03FF4"/>
    <w:rsid w:val="00B12F78"/>
    <w:rsid w:val="00B17A5B"/>
    <w:rsid w:val="00B24D82"/>
    <w:rsid w:val="00B270A4"/>
    <w:rsid w:val="00B31A5F"/>
    <w:rsid w:val="00B32E80"/>
    <w:rsid w:val="00B357EC"/>
    <w:rsid w:val="00B60154"/>
    <w:rsid w:val="00B86715"/>
    <w:rsid w:val="00BC284B"/>
    <w:rsid w:val="00BC6BD8"/>
    <w:rsid w:val="00BD0EC4"/>
    <w:rsid w:val="00C1346C"/>
    <w:rsid w:val="00C16461"/>
    <w:rsid w:val="00C307E6"/>
    <w:rsid w:val="00C35805"/>
    <w:rsid w:val="00C5348C"/>
    <w:rsid w:val="00C63B53"/>
    <w:rsid w:val="00C815DD"/>
    <w:rsid w:val="00CB3AF2"/>
    <w:rsid w:val="00CC0666"/>
    <w:rsid w:val="00CC25E8"/>
    <w:rsid w:val="00CC46CD"/>
    <w:rsid w:val="00CD353A"/>
    <w:rsid w:val="00CF2643"/>
    <w:rsid w:val="00CF59CD"/>
    <w:rsid w:val="00D526B1"/>
    <w:rsid w:val="00D5763E"/>
    <w:rsid w:val="00D577F6"/>
    <w:rsid w:val="00D63D85"/>
    <w:rsid w:val="00D81446"/>
    <w:rsid w:val="00D91522"/>
    <w:rsid w:val="00D94CE6"/>
    <w:rsid w:val="00D96BAD"/>
    <w:rsid w:val="00DE1F1C"/>
    <w:rsid w:val="00DE6B9C"/>
    <w:rsid w:val="00DE77EF"/>
    <w:rsid w:val="00E44E01"/>
    <w:rsid w:val="00E9009E"/>
    <w:rsid w:val="00E929B0"/>
    <w:rsid w:val="00E92FC8"/>
    <w:rsid w:val="00E93E79"/>
    <w:rsid w:val="00E95FF7"/>
    <w:rsid w:val="00ED3D5F"/>
    <w:rsid w:val="00EE2F0C"/>
    <w:rsid w:val="00EE30E1"/>
    <w:rsid w:val="00EF11A5"/>
    <w:rsid w:val="00F02AAC"/>
    <w:rsid w:val="00F138DE"/>
    <w:rsid w:val="00F207E5"/>
    <w:rsid w:val="00F22BBE"/>
    <w:rsid w:val="00F31662"/>
    <w:rsid w:val="00F50F34"/>
    <w:rsid w:val="00F53466"/>
    <w:rsid w:val="00F67ED1"/>
    <w:rsid w:val="00F7222D"/>
    <w:rsid w:val="00F80FBC"/>
    <w:rsid w:val="00FA2C0D"/>
    <w:rsid w:val="00FB6CFD"/>
    <w:rsid w:val="00FC3729"/>
    <w:rsid w:val="00FC4212"/>
    <w:rsid w:val="00FC46B1"/>
    <w:rsid w:val="00FC6C8D"/>
    <w:rsid w:val="00FD0D0E"/>
    <w:rsid w:val="00FD3FDB"/>
    <w:rsid w:val="00FD7F7F"/>
    <w:rsid w:val="00FE2BF5"/>
    <w:rsid w:val="00FE4D9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E1790"/>
  <w15:chartTrackingRefBased/>
  <w15:docId w15:val="{1E97C7D7-336F-475D-986F-A21EB0081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949BA"/>
    <w:rPr>
      <w:rFonts w:ascii="Calibri" w:hAnsi="Calibri"/>
    </w:rPr>
  </w:style>
  <w:style w:type="paragraph" w:styleId="Nadpis1">
    <w:name w:val="heading 1"/>
    <w:basedOn w:val="Normln"/>
    <w:next w:val="Normln"/>
    <w:link w:val="Nadpis1Char"/>
    <w:uiPriority w:val="9"/>
    <w:qFormat/>
    <w:rsid w:val="006E5D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6E5D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6E5DD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E5DD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dpis5">
    <w:name w:val="heading 5"/>
    <w:basedOn w:val="Normln"/>
    <w:next w:val="Normln"/>
    <w:link w:val="Nadpis5Char"/>
    <w:uiPriority w:val="9"/>
    <w:semiHidden/>
    <w:unhideWhenUsed/>
    <w:qFormat/>
    <w:rsid w:val="006E5DD8"/>
    <w:pPr>
      <w:keepNext/>
      <w:keepLines/>
      <w:spacing w:before="80" w:after="40"/>
      <w:outlineLvl w:val="4"/>
    </w:pPr>
    <w:rPr>
      <w:rFonts w:asciiTheme="minorHAnsi" w:eastAsiaTheme="majorEastAsia" w:hAnsiTheme="minorHAnsi" w:cstheme="majorBidi"/>
      <w:color w:val="0F4761" w:themeColor="accent1" w:themeShade="BF"/>
    </w:rPr>
  </w:style>
  <w:style w:type="paragraph" w:styleId="Nadpis6">
    <w:name w:val="heading 6"/>
    <w:basedOn w:val="Normln"/>
    <w:next w:val="Normln"/>
    <w:link w:val="Nadpis6Char"/>
    <w:uiPriority w:val="9"/>
    <w:semiHidden/>
    <w:unhideWhenUsed/>
    <w:qFormat/>
    <w:rsid w:val="006E5DD8"/>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6E5DD8"/>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6E5DD8"/>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6E5DD8"/>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1">
    <w:name w:val="Styl1"/>
    <w:basedOn w:val="Normln"/>
    <w:qFormat/>
    <w:rsid w:val="007949BA"/>
  </w:style>
  <w:style w:type="paragraph" w:customStyle="1" w:styleId="Styl2">
    <w:name w:val="Styl2"/>
    <w:basedOn w:val="Normln"/>
    <w:autoRedefine/>
    <w:qFormat/>
    <w:rsid w:val="007949BA"/>
  </w:style>
  <w:style w:type="character" w:customStyle="1" w:styleId="Nadpis1Char">
    <w:name w:val="Nadpis 1 Char"/>
    <w:basedOn w:val="Standardnpsmoodstavce"/>
    <w:link w:val="Nadpis1"/>
    <w:uiPriority w:val="9"/>
    <w:rsid w:val="006E5DD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6E5DD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6E5DD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E5DD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E5DD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E5DD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E5DD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E5DD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E5DD8"/>
    <w:rPr>
      <w:rFonts w:eastAsiaTheme="majorEastAsia" w:cstheme="majorBidi"/>
      <w:color w:val="272727" w:themeColor="text1" w:themeTint="D8"/>
    </w:rPr>
  </w:style>
  <w:style w:type="paragraph" w:styleId="Nzev">
    <w:name w:val="Title"/>
    <w:basedOn w:val="Normln"/>
    <w:next w:val="Normln"/>
    <w:link w:val="NzevChar"/>
    <w:uiPriority w:val="10"/>
    <w:qFormat/>
    <w:rsid w:val="006E5D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E5DD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E5DD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E5DD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E5DD8"/>
    <w:pPr>
      <w:spacing w:before="160"/>
      <w:jc w:val="center"/>
    </w:pPr>
    <w:rPr>
      <w:i/>
      <w:iCs/>
      <w:color w:val="404040" w:themeColor="text1" w:themeTint="BF"/>
    </w:rPr>
  </w:style>
  <w:style w:type="character" w:customStyle="1" w:styleId="CittChar">
    <w:name w:val="Citát Char"/>
    <w:basedOn w:val="Standardnpsmoodstavce"/>
    <w:link w:val="Citt"/>
    <w:uiPriority w:val="29"/>
    <w:rsid w:val="006E5DD8"/>
    <w:rPr>
      <w:rFonts w:ascii="Calibri" w:hAnsi="Calibri"/>
      <w:i/>
      <w:iCs/>
      <w:color w:val="404040" w:themeColor="text1" w:themeTint="BF"/>
    </w:rPr>
  </w:style>
  <w:style w:type="paragraph" w:styleId="Odstavecseseznamem">
    <w:name w:val="List Paragraph"/>
    <w:basedOn w:val="Normln"/>
    <w:uiPriority w:val="34"/>
    <w:qFormat/>
    <w:rsid w:val="006E5DD8"/>
    <w:pPr>
      <w:ind w:left="720"/>
      <w:contextualSpacing/>
    </w:pPr>
  </w:style>
  <w:style w:type="character" w:styleId="Zdraznnintenzivn">
    <w:name w:val="Intense Emphasis"/>
    <w:basedOn w:val="Standardnpsmoodstavce"/>
    <w:uiPriority w:val="21"/>
    <w:qFormat/>
    <w:rsid w:val="006E5DD8"/>
    <w:rPr>
      <w:i/>
      <w:iCs/>
      <w:color w:val="0F4761" w:themeColor="accent1" w:themeShade="BF"/>
    </w:rPr>
  </w:style>
  <w:style w:type="paragraph" w:styleId="Vrazncitt">
    <w:name w:val="Intense Quote"/>
    <w:basedOn w:val="Normln"/>
    <w:next w:val="Normln"/>
    <w:link w:val="VrazncittChar"/>
    <w:uiPriority w:val="30"/>
    <w:qFormat/>
    <w:rsid w:val="006E5D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E5DD8"/>
    <w:rPr>
      <w:rFonts w:ascii="Calibri" w:hAnsi="Calibri"/>
      <w:i/>
      <w:iCs/>
      <w:color w:val="0F4761" w:themeColor="accent1" w:themeShade="BF"/>
    </w:rPr>
  </w:style>
  <w:style w:type="character" w:styleId="Odkazintenzivn">
    <w:name w:val="Intense Reference"/>
    <w:basedOn w:val="Standardnpsmoodstavce"/>
    <w:uiPriority w:val="32"/>
    <w:qFormat/>
    <w:rsid w:val="006E5DD8"/>
    <w:rPr>
      <w:b/>
      <w:bCs/>
      <w:smallCaps/>
      <w:color w:val="0F4761" w:themeColor="accent1" w:themeShade="BF"/>
      <w:spacing w:val="5"/>
    </w:rPr>
  </w:style>
  <w:style w:type="paragraph" w:styleId="Revize">
    <w:name w:val="Revision"/>
    <w:hidden/>
    <w:uiPriority w:val="99"/>
    <w:semiHidden/>
    <w:rsid w:val="008A1180"/>
    <w:pPr>
      <w:spacing w:after="0" w:line="240" w:lineRule="auto"/>
    </w:pPr>
    <w:rPr>
      <w:rFonts w:ascii="Calibri" w:hAnsi="Calibri"/>
    </w:rPr>
  </w:style>
  <w:style w:type="paragraph" w:styleId="Zhlav">
    <w:name w:val="header"/>
    <w:basedOn w:val="Normln"/>
    <w:link w:val="ZhlavChar"/>
    <w:uiPriority w:val="99"/>
    <w:unhideWhenUsed/>
    <w:rsid w:val="002C721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C7213"/>
    <w:rPr>
      <w:rFonts w:ascii="Calibri" w:hAnsi="Calibri"/>
    </w:rPr>
  </w:style>
  <w:style w:type="paragraph" w:styleId="Zpat">
    <w:name w:val="footer"/>
    <w:basedOn w:val="Normln"/>
    <w:link w:val="ZpatChar"/>
    <w:uiPriority w:val="99"/>
    <w:unhideWhenUsed/>
    <w:rsid w:val="002C7213"/>
    <w:pPr>
      <w:tabs>
        <w:tab w:val="center" w:pos="4536"/>
        <w:tab w:val="right" w:pos="9072"/>
      </w:tabs>
      <w:spacing w:after="0" w:line="240" w:lineRule="auto"/>
    </w:pPr>
  </w:style>
  <w:style w:type="character" w:customStyle="1" w:styleId="ZpatChar">
    <w:name w:val="Zápatí Char"/>
    <w:basedOn w:val="Standardnpsmoodstavce"/>
    <w:link w:val="Zpat"/>
    <w:uiPriority w:val="99"/>
    <w:rsid w:val="002C7213"/>
    <w:rPr>
      <w:rFonts w:ascii="Calibri" w:hAnsi="Calibri"/>
    </w:rPr>
  </w:style>
  <w:style w:type="paragraph" w:styleId="Normlnweb">
    <w:name w:val="Normal (Web)"/>
    <w:basedOn w:val="Normln"/>
    <w:uiPriority w:val="99"/>
    <w:unhideWhenUsed/>
    <w:rsid w:val="005F63FF"/>
    <w:pPr>
      <w:spacing w:before="100" w:beforeAutospacing="1" w:after="100" w:afterAutospacing="1" w:line="240" w:lineRule="auto"/>
    </w:pPr>
    <w:rPr>
      <w:rFonts w:cs="Calibri"/>
      <w:kern w:val="0"/>
      <w:lang w:eastAsia="cs-CZ"/>
      <w14:ligatures w14:val="none"/>
    </w:rPr>
  </w:style>
  <w:style w:type="character" w:customStyle="1" w:styleId="apple-converted-space">
    <w:name w:val="apple-converted-space"/>
    <w:basedOn w:val="Standardnpsmoodstavce"/>
    <w:rsid w:val="005F63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a:lstStyle/>
          <a:p>
            <a:pPr>
              <a:defRPr sz="1800" b="1" strike="noStrike" spc="-1">
                <a:solidFill>
                  <a:srgbClr val="000000"/>
                </a:solidFill>
                <a:latin typeface="Calibri"/>
              </a:defRPr>
            </a:pPr>
            <a:r>
              <a:rPr lang="cs-CZ" sz="1000" b="1" strike="noStrike" spc="-1">
                <a:solidFill>
                  <a:srgbClr val="000000"/>
                </a:solidFill>
                <a:latin typeface="Calibri"/>
              </a:rPr>
              <a:t>CZ CAL-2027 — Prognóza vývoje ve třech scénářích</a:t>
            </a:r>
          </a:p>
        </c:rich>
      </c:tx>
      <c:layout>
        <c:manualLayout>
          <c:xMode val="edge"/>
          <c:yMode val="edge"/>
          <c:x val="0.28435282395256151"/>
          <c:y val="1.9704433497536946E-2"/>
        </c:manualLayout>
      </c:layout>
      <c:overlay val="0"/>
      <c:spPr>
        <a:noFill/>
        <a:ln w="0">
          <a:noFill/>
        </a:ln>
      </c:spPr>
    </c:title>
    <c:autoTitleDeleted val="0"/>
    <c:plotArea>
      <c:layout/>
      <c:lineChart>
        <c:grouping val="standard"/>
        <c:varyColors val="0"/>
        <c:ser>
          <c:idx val="0"/>
          <c:order val="0"/>
          <c:tx>
            <c:v>Pesimistický</c:v>
          </c:tx>
          <c:spPr>
            <a:ln w="21960">
              <a:solidFill>
                <a:srgbClr val="C00000"/>
              </a:solidFill>
              <a:round/>
            </a:ln>
          </c:spPr>
          <c:marker>
            <c:symbol val="none"/>
          </c:marker>
          <c:dLbls>
            <c:spPr>
              <a:solidFill>
                <a:schemeClr val="accent2">
                  <a:lumMod val="20000"/>
                  <a:lumOff val="80000"/>
                </a:schemeClr>
              </a:solidFill>
              <a:ln>
                <a:noFill/>
              </a:ln>
              <a:effectLst/>
            </c:spPr>
            <c:txPr>
              <a:bodyPr wrap="none"/>
              <a:lstStyle/>
              <a:p>
                <a:pPr>
                  <a:defRPr sz="900" b="0" strike="noStrike" spc="-1">
                    <a:solidFill>
                      <a:schemeClr val="tx1"/>
                    </a:solidFill>
                    <a:latin typeface="Aptos Narrow" panose="020B0004020202020204" pitchFamily="34" charset="0"/>
                  </a:defRPr>
                </a:pPr>
                <a:endParaRPr lang="cs-CZ"/>
              </a:p>
            </c:txPr>
            <c:dLblPos val="t"/>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strRef>
              <c:f>'CAL-2027 Vývoj'!$A$5:$A$16</c:f>
              <c:strCache>
                <c:ptCount val="12"/>
                <c:pt idx="0">
                  <c:v>25.6.26</c:v>
                </c:pt>
                <c:pt idx="1">
                  <c:v>7. 7. 2026</c:v>
                </c:pt>
                <c:pt idx="2">
                  <c:v>21. 7. 2026</c:v>
                </c:pt>
                <c:pt idx="3">
                  <c:v>4. 8. 2026</c:v>
                </c:pt>
                <c:pt idx="4">
                  <c:v>18. 8. 2026</c:v>
                </c:pt>
                <c:pt idx="5">
                  <c:v>1. 9. 2026</c:v>
                </c:pt>
                <c:pt idx="6">
                  <c:v>15. 9. 2026</c:v>
                </c:pt>
                <c:pt idx="7">
                  <c:v>1. 10. 2026</c:v>
                </c:pt>
                <c:pt idx="8">
                  <c:v>15. 10. 2026</c:v>
                </c:pt>
                <c:pt idx="9">
                  <c:v>1. 11. 2026</c:v>
                </c:pt>
                <c:pt idx="10">
                  <c:v>1. 12. 2026</c:v>
                </c:pt>
                <c:pt idx="11">
                  <c:v>31. 12. 2026</c:v>
                </c:pt>
              </c:strCache>
            </c:strRef>
          </c:cat>
          <c:val>
            <c:numRef>
              <c:f>'CAL-2027 Vývoj'!$B$5:$B$16</c:f>
              <c:numCache>
                <c:formatCode>#,##0.0</c:formatCode>
                <c:ptCount val="12"/>
                <c:pt idx="0">
                  <c:v>99.05</c:v>
                </c:pt>
                <c:pt idx="1">
                  <c:v>100</c:v>
                </c:pt>
                <c:pt idx="2">
                  <c:v>105</c:v>
                </c:pt>
                <c:pt idx="3">
                  <c:v>112</c:v>
                </c:pt>
                <c:pt idx="4">
                  <c:v>120</c:v>
                </c:pt>
                <c:pt idx="5">
                  <c:v>127</c:v>
                </c:pt>
                <c:pt idx="6">
                  <c:v>130</c:v>
                </c:pt>
                <c:pt idx="7">
                  <c:v>132</c:v>
                </c:pt>
                <c:pt idx="8">
                  <c:v>134</c:v>
                </c:pt>
                <c:pt idx="9">
                  <c:v>136</c:v>
                </c:pt>
                <c:pt idx="10">
                  <c:v>138</c:v>
                </c:pt>
                <c:pt idx="11">
                  <c:v>140</c:v>
                </c:pt>
              </c:numCache>
            </c:numRef>
          </c:val>
          <c:smooth val="1"/>
          <c:extLst>
            <c:ext xmlns:c16="http://schemas.microsoft.com/office/drawing/2014/chart" uri="{C3380CC4-5D6E-409C-BE32-E72D297353CC}">
              <c16:uniqueId val="{00000000-F3E2-44DD-B0BD-C09A1D8AD011}"/>
            </c:ext>
          </c:extLst>
        </c:ser>
        <c:ser>
          <c:idx val="1"/>
          <c:order val="1"/>
          <c:tx>
            <c:v>Základní</c:v>
          </c:tx>
          <c:spPr>
            <a:ln w="21960">
              <a:solidFill>
                <a:srgbClr val="2E75B6"/>
              </a:solidFill>
              <a:round/>
            </a:ln>
          </c:spPr>
          <c:marker>
            <c:symbol val="none"/>
          </c:marker>
          <c:dLbls>
            <c:dLbl>
              <c:idx val="1"/>
              <c:delete val="1"/>
              <c:extLst>
                <c:ext xmlns:c15="http://schemas.microsoft.com/office/drawing/2012/chart" uri="{CE6537A1-D6FC-4f65-9D91-7224C49458BB}"/>
                <c:ext xmlns:c16="http://schemas.microsoft.com/office/drawing/2014/chart" uri="{C3380CC4-5D6E-409C-BE32-E72D297353CC}">
                  <c16:uniqueId val="{00000001-F3E2-44DD-B0BD-C09A1D8AD011}"/>
                </c:ext>
              </c:extLst>
            </c:dLbl>
            <c:dLbl>
              <c:idx val="2"/>
              <c:layout>
                <c:manualLayout>
                  <c:x val="-3.7436088669695897E-3"/>
                  <c:y val="-2.1291946515244142E-2"/>
                </c:manualLayout>
              </c:layout>
              <c:dLblPos val="r"/>
              <c:showLegendKey val="0"/>
              <c:showVal val="1"/>
              <c:showCatName val="0"/>
              <c:showSerName val="0"/>
              <c:showPercent val="0"/>
              <c:showBubbleSize val="1"/>
              <c:separator> </c:separator>
              <c:extLst>
                <c:ext xmlns:c15="http://schemas.microsoft.com/office/drawing/2012/chart" uri="{CE6537A1-D6FC-4f65-9D91-7224C49458BB}"/>
                <c:ext xmlns:c16="http://schemas.microsoft.com/office/drawing/2014/chart" uri="{C3380CC4-5D6E-409C-BE32-E72D297353CC}">
                  <c16:uniqueId val="{00000002-F3E2-44DD-B0BD-C09A1D8AD011}"/>
                </c:ext>
              </c:extLst>
            </c:dLbl>
            <c:spPr>
              <a:solidFill>
                <a:schemeClr val="accent5">
                  <a:lumMod val="20000"/>
                  <a:lumOff val="80000"/>
                </a:schemeClr>
              </a:solidFill>
              <a:ln>
                <a:noFill/>
              </a:ln>
              <a:effectLst/>
            </c:spPr>
            <c:txPr>
              <a:bodyPr wrap="none"/>
              <a:lstStyle/>
              <a:p>
                <a:pPr>
                  <a:defRPr sz="900" b="0" strike="noStrike" spc="-1">
                    <a:latin typeface="Aptos Narrow" panose="020B0004020202020204" pitchFamily="34" charset="0"/>
                  </a:defRPr>
                </a:pPr>
                <a:endParaRPr lang="cs-CZ"/>
              </a:p>
            </c:txPr>
            <c:dLblPos val="t"/>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strRef>
              <c:f>'CAL-2027 Vývoj'!$A$5:$A$16</c:f>
              <c:strCache>
                <c:ptCount val="12"/>
                <c:pt idx="0">
                  <c:v>25.6.26</c:v>
                </c:pt>
                <c:pt idx="1">
                  <c:v>7. 7. 2026</c:v>
                </c:pt>
                <c:pt idx="2">
                  <c:v>21. 7. 2026</c:v>
                </c:pt>
                <c:pt idx="3">
                  <c:v>4. 8. 2026</c:v>
                </c:pt>
                <c:pt idx="4">
                  <c:v>18. 8. 2026</c:v>
                </c:pt>
                <c:pt idx="5">
                  <c:v>1. 9. 2026</c:v>
                </c:pt>
                <c:pt idx="6">
                  <c:v>15. 9. 2026</c:v>
                </c:pt>
                <c:pt idx="7">
                  <c:v>1. 10. 2026</c:v>
                </c:pt>
                <c:pt idx="8">
                  <c:v>15. 10. 2026</c:v>
                </c:pt>
                <c:pt idx="9">
                  <c:v>1. 11. 2026</c:v>
                </c:pt>
                <c:pt idx="10">
                  <c:v>1. 12. 2026</c:v>
                </c:pt>
                <c:pt idx="11">
                  <c:v>31. 12. 2026</c:v>
                </c:pt>
              </c:strCache>
            </c:strRef>
          </c:cat>
          <c:val>
            <c:numRef>
              <c:f>'CAL-2027 Vývoj'!$C$5:$C$16</c:f>
              <c:numCache>
                <c:formatCode>#,##0.0</c:formatCode>
                <c:ptCount val="12"/>
                <c:pt idx="0">
                  <c:v>99.05</c:v>
                </c:pt>
                <c:pt idx="1">
                  <c:v>100</c:v>
                </c:pt>
                <c:pt idx="2">
                  <c:v>102</c:v>
                </c:pt>
                <c:pt idx="3">
                  <c:v>106</c:v>
                </c:pt>
                <c:pt idx="4">
                  <c:v>110</c:v>
                </c:pt>
                <c:pt idx="5">
                  <c:v>112</c:v>
                </c:pt>
                <c:pt idx="6">
                  <c:v>113</c:v>
                </c:pt>
                <c:pt idx="7">
                  <c:v>114</c:v>
                </c:pt>
                <c:pt idx="8">
                  <c:v>115</c:v>
                </c:pt>
                <c:pt idx="9">
                  <c:v>116</c:v>
                </c:pt>
                <c:pt idx="10">
                  <c:v>117</c:v>
                </c:pt>
                <c:pt idx="11">
                  <c:v>117</c:v>
                </c:pt>
              </c:numCache>
            </c:numRef>
          </c:val>
          <c:smooth val="1"/>
          <c:extLst>
            <c:ext xmlns:c16="http://schemas.microsoft.com/office/drawing/2014/chart" uri="{C3380CC4-5D6E-409C-BE32-E72D297353CC}">
              <c16:uniqueId val="{00000003-F3E2-44DD-B0BD-C09A1D8AD011}"/>
            </c:ext>
          </c:extLst>
        </c:ser>
        <c:ser>
          <c:idx val="2"/>
          <c:order val="2"/>
          <c:tx>
            <c:v>Optimistický</c:v>
          </c:tx>
          <c:spPr>
            <a:ln w="21960">
              <a:solidFill>
                <a:srgbClr val="375623"/>
              </a:solidFill>
              <a:round/>
            </a:ln>
          </c:spPr>
          <c:marker>
            <c:symbol val="none"/>
          </c:marker>
          <c:dLbls>
            <c:spPr>
              <a:solidFill>
                <a:schemeClr val="accent3">
                  <a:lumMod val="40000"/>
                  <a:lumOff val="60000"/>
                </a:schemeClr>
              </a:solidFill>
              <a:ln>
                <a:noFill/>
              </a:ln>
              <a:effectLst/>
            </c:spPr>
            <c:txPr>
              <a:bodyPr wrap="none"/>
              <a:lstStyle/>
              <a:p>
                <a:pPr>
                  <a:defRPr sz="900" b="0" strike="noStrike" spc="-1">
                    <a:latin typeface="Aptos Narrow" panose="020B0004020202020204" pitchFamily="34" charset="0"/>
                  </a:defRPr>
                </a:pPr>
                <a:endParaRPr lang="cs-CZ"/>
              </a:p>
            </c:txPr>
            <c:dLblPos val="b"/>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strRef>
              <c:f>'CAL-2027 Vývoj'!$A$5:$A$16</c:f>
              <c:strCache>
                <c:ptCount val="12"/>
                <c:pt idx="0">
                  <c:v>25.6.26</c:v>
                </c:pt>
                <c:pt idx="1">
                  <c:v>7. 7. 2026</c:v>
                </c:pt>
                <c:pt idx="2">
                  <c:v>21. 7. 2026</c:v>
                </c:pt>
                <c:pt idx="3">
                  <c:v>4. 8. 2026</c:v>
                </c:pt>
                <c:pt idx="4">
                  <c:v>18. 8. 2026</c:v>
                </c:pt>
                <c:pt idx="5">
                  <c:v>1. 9. 2026</c:v>
                </c:pt>
                <c:pt idx="6">
                  <c:v>15. 9. 2026</c:v>
                </c:pt>
                <c:pt idx="7">
                  <c:v>1. 10. 2026</c:v>
                </c:pt>
                <c:pt idx="8">
                  <c:v>15. 10. 2026</c:v>
                </c:pt>
                <c:pt idx="9">
                  <c:v>1. 11. 2026</c:v>
                </c:pt>
                <c:pt idx="10">
                  <c:v>1. 12. 2026</c:v>
                </c:pt>
                <c:pt idx="11">
                  <c:v>31. 12. 2026</c:v>
                </c:pt>
              </c:strCache>
            </c:strRef>
          </c:cat>
          <c:val>
            <c:numRef>
              <c:f>'CAL-2027 Vývoj'!$D$5:$D$16</c:f>
              <c:numCache>
                <c:formatCode>#,##0.0</c:formatCode>
                <c:ptCount val="12"/>
                <c:pt idx="0">
                  <c:v>99.05</c:v>
                </c:pt>
                <c:pt idx="1">
                  <c:v>99</c:v>
                </c:pt>
                <c:pt idx="2">
                  <c:v>97</c:v>
                </c:pt>
                <c:pt idx="3">
                  <c:v>96</c:v>
                </c:pt>
                <c:pt idx="4">
                  <c:v>95</c:v>
                </c:pt>
                <c:pt idx="5">
                  <c:v>96</c:v>
                </c:pt>
                <c:pt idx="6">
                  <c:v>96</c:v>
                </c:pt>
                <c:pt idx="7">
                  <c:v>97</c:v>
                </c:pt>
                <c:pt idx="8">
                  <c:v>97</c:v>
                </c:pt>
                <c:pt idx="9">
                  <c:v>97</c:v>
                </c:pt>
                <c:pt idx="10">
                  <c:v>97</c:v>
                </c:pt>
                <c:pt idx="11">
                  <c:v>97</c:v>
                </c:pt>
              </c:numCache>
            </c:numRef>
          </c:val>
          <c:smooth val="1"/>
          <c:extLst>
            <c:ext xmlns:c16="http://schemas.microsoft.com/office/drawing/2014/chart" uri="{C3380CC4-5D6E-409C-BE32-E72D297353CC}">
              <c16:uniqueId val="{00000004-F3E2-44DD-B0BD-C09A1D8AD011}"/>
            </c:ext>
          </c:extLst>
        </c:ser>
        <c:ser>
          <c:idx val="3"/>
          <c:order val="3"/>
          <c:tx>
            <c:v>Strukt. podlaha (~95)</c:v>
          </c:tx>
          <c:spPr>
            <a:ln w="14040">
              <a:solidFill>
                <a:srgbClr val="BF8F00"/>
              </a:solidFill>
              <a:prstDash val="dash"/>
              <a:round/>
            </a:ln>
          </c:spPr>
          <c:marker>
            <c:symbol val="none"/>
          </c:marker>
          <c:dLbls>
            <c:spPr>
              <a:noFill/>
              <a:ln>
                <a:noFill/>
              </a:ln>
              <a:effectLst/>
            </c:spPr>
            <c:txPr>
              <a:bodyPr wrap="none"/>
              <a:lstStyle/>
              <a:p>
                <a:pPr>
                  <a:defRPr sz="1000" b="0" strike="noStrike" spc="-1">
                    <a:latin typeface="Arial"/>
                  </a:defRPr>
                </a:pPr>
                <a:endParaRPr lang="cs-CZ"/>
              </a:p>
            </c:txPr>
            <c:showLegendKey val="0"/>
            <c:showVal val="0"/>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'CAL-2027 Vývoj'!$A$5:$A$16</c:f>
              <c:strCache>
                <c:ptCount val="12"/>
                <c:pt idx="0">
                  <c:v>25.6.26</c:v>
                </c:pt>
                <c:pt idx="1">
                  <c:v>7. 7. 2026</c:v>
                </c:pt>
                <c:pt idx="2">
                  <c:v>21. 7. 2026</c:v>
                </c:pt>
                <c:pt idx="3">
                  <c:v>4. 8. 2026</c:v>
                </c:pt>
                <c:pt idx="4">
                  <c:v>18. 8. 2026</c:v>
                </c:pt>
                <c:pt idx="5">
                  <c:v>1. 9. 2026</c:v>
                </c:pt>
                <c:pt idx="6">
                  <c:v>15. 9. 2026</c:v>
                </c:pt>
                <c:pt idx="7">
                  <c:v>1. 10. 2026</c:v>
                </c:pt>
                <c:pt idx="8">
                  <c:v>15. 10. 2026</c:v>
                </c:pt>
                <c:pt idx="9">
                  <c:v>1. 11. 2026</c:v>
                </c:pt>
                <c:pt idx="10">
                  <c:v>1. 12. 2026</c:v>
                </c:pt>
                <c:pt idx="11">
                  <c:v>31. 12. 2026</c:v>
                </c:pt>
              </c:strCache>
            </c:strRef>
          </c:cat>
          <c:val>
            <c:numRef>
              <c:f>'CAL-2027 Vývoj'!$E$5:$E$16</c:f>
              <c:numCache>
                <c:formatCode>#,##0.0</c:formatCode>
                <c:ptCount val="12"/>
                <c:pt idx="0">
                  <c:v>95</c:v>
                </c:pt>
                <c:pt idx="1">
                  <c:v>95</c:v>
                </c:pt>
                <c:pt idx="2">
                  <c:v>95</c:v>
                </c:pt>
                <c:pt idx="3">
                  <c:v>95</c:v>
                </c:pt>
                <c:pt idx="4">
                  <c:v>95</c:v>
                </c:pt>
                <c:pt idx="5">
                  <c:v>95</c:v>
                </c:pt>
                <c:pt idx="6">
                  <c:v>95</c:v>
                </c:pt>
                <c:pt idx="7">
                  <c:v>95</c:v>
                </c:pt>
                <c:pt idx="8">
                  <c:v>95</c:v>
                </c:pt>
                <c:pt idx="9">
                  <c:v>95</c:v>
                </c:pt>
                <c:pt idx="10">
                  <c:v>95</c:v>
                </c:pt>
                <c:pt idx="11">
                  <c:v>95</c:v>
                </c:pt>
              </c:numCache>
            </c:numRef>
          </c:val>
          <c:smooth val="1"/>
          <c:extLst>
            <c:ext xmlns:c16="http://schemas.microsoft.com/office/drawing/2014/chart" uri="{C3380CC4-5D6E-409C-BE32-E72D297353CC}">
              <c16:uniqueId val="{00000005-F3E2-44DD-B0BD-C09A1D8AD011}"/>
            </c:ext>
          </c:extLst>
        </c:ser>
        <c:dLbls>
          <c:showLegendKey val="0"/>
          <c:showVal val="0"/>
          <c:showCatName val="0"/>
          <c:showSerName val="0"/>
          <c:showPercent val="0"/>
          <c:showBubbleSize val="0"/>
        </c:dLbls>
        <c:hiLowLines>
          <c:spPr>
            <a:ln w="0">
              <a:noFill/>
            </a:ln>
          </c:spPr>
        </c:hiLowLines>
        <c:smooth val="0"/>
        <c:axId val="24501862"/>
        <c:axId val="59506168"/>
      </c:lineChart>
      <c:catAx>
        <c:axId val="24501862"/>
        <c:scaling>
          <c:orientation val="minMax"/>
        </c:scaling>
        <c:delete val="0"/>
        <c:axPos val="b"/>
        <c:title>
          <c:tx>
            <c:rich>
              <a:bodyPr rot="0"/>
              <a:lstStyle/>
              <a:p>
                <a:pPr>
                  <a:defRPr sz="1000" b="1" strike="noStrike" spc="-1">
                    <a:solidFill>
                      <a:srgbClr val="000000"/>
                    </a:solidFill>
                    <a:latin typeface="Calibri"/>
                  </a:defRPr>
                </a:pPr>
                <a:r>
                  <a:rPr lang="cs-CZ" sz="1000" b="1" strike="noStrike" spc="-1">
                    <a:solidFill>
                      <a:srgbClr val="000000"/>
                    </a:solidFill>
                    <a:latin typeface="Calibri"/>
                  </a:rPr>
                  <a:t>Období</a:t>
                </a:r>
              </a:p>
            </c:rich>
          </c:tx>
          <c:overlay val="0"/>
          <c:spPr>
            <a:noFill/>
            <a:ln w="0">
              <a:noFill/>
            </a:ln>
          </c:spPr>
        </c:title>
        <c:numFmt formatCode="General" sourceLinked="1"/>
        <c:majorTickMark val="none"/>
        <c:minorTickMark val="none"/>
        <c:tickLblPos val="nextTo"/>
        <c:spPr>
          <a:ln w="9360">
            <a:solidFill>
              <a:srgbClr val="878787"/>
            </a:solidFill>
            <a:round/>
          </a:ln>
        </c:spPr>
        <c:txPr>
          <a:bodyPr/>
          <a:lstStyle/>
          <a:p>
            <a:pPr>
              <a:defRPr sz="900" b="0" strike="noStrike" spc="-1">
                <a:solidFill>
                  <a:srgbClr val="000000"/>
                </a:solidFill>
                <a:latin typeface="Calibri"/>
              </a:defRPr>
            </a:pPr>
            <a:endParaRPr lang="cs-CZ"/>
          </a:p>
        </c:txPr>
        <c:crossAx val="59506168"/>
        <c:crosses val="autoZero"/>
        <c:auto val="1"/>
        <c:lblAlgn val="ctr"/>
        <c:lblOffset val="100"/>
        <c:noMultiLvlLbl val="0"/>
      </c:catAx>
      <c:valAx>
        <c:axId val="59506168"/>
        <c:scaling>
          <c:orientation val="minMax"/>
          <c:max val="158"/>
          <c:min val="80"/>
        </c:scaling>
        <c:delete val="0"/>
        <c:axPos val="l"/>
        <c:majorGridlines>
          <c:spPr>
            <a:ln w="9360">
              <a:solidFill>
                <a:srgbClr val="878787"/>
              </a:solidFill>
              <a:round/>
            </a:ln>
          </c:spPr>
        </c:majorGridlines>
        <c:title>
          <c:tx>
            <c:rich>
              <a:bodyPr rot="-5400000"/>
              <a:lstStyle/>
              <a:p>
                <a:pPr>
                  <a:defRPr sz="1000" b="1" strike="noStrike" spc="-1">
                    <a:solidFill>
                      <a:srgbClr val="000000"/>
                    </a:solidFill>
                    <a:latin typeface="Calibri"/>
                  </a:defRPr>
                </a:pPr>
                <a:r>
                  <a:rPr lang="cs-CZ" sz="1000" b="1" strike="noStrike" spc="-1">
                    <a:solidFill>
                      <a:srgbClr val="000000"/>
                    </a:solidFill>
                    <a:latin typeface="Calibri"/>
                  </a:rPr>
                  <a:t>EUR/MWh</a:t>
                </a:r>
              </a:p>
            </c:rich>
          </c:tx>
          <c:overlay val="0"/>
          <c:spPr>
            <a:noFill/>
            <a:ln w="0">
              <a:noFill/>
            </a:ln>
          </c:spPr>
        </c:title>
        <c:numFmt formatCode="#,##0.0" sourceLinked="1"/>
        <c:majorTickMark val="none"/>
        <c:minorTickMark val="none"/>
        <c:tickLblPos val="nextTo"/>
        <c:spPr>
          <a:ln w="9360">
            <a:solidFill>
              <a:srgbClr val="878787"/>
            </a:solidFill>
            <a:round/>
          </a:ln>
        </c:spPr>
        <c:txPr>
          <a:bodyPr/>
          <a:lstStyle/>
          <a:p>
            <a:pPr>
              <a:defRPr sz="900" b="0" strike="noStrike" spc="-1">
                <a:solidFill>
                  <a:srgbClr val="000000"/>
                </a:solidFill>
                <a:latin typeface="Calibri"/>
              </a:defRPr>
            </a:pPr>
            <a:endParaRPr lang="cs-CZ"/>
          </a:p>
        </c:txPr>
        <c:crossAx val="24501862"/>
        <c:crosses val="autoZero"/>
        <c:crossBetween val="between"/>
      </c:valAx>
      <c:spPr>
        <a:noFill/>
        <a:ln w="0">
          <a:noFill/>
        </a:ln>
      </c:spPr>
    </c:plotArea>
    <c:legend>
      <c:legendPos val="b"/>
      <c:overlay val="0"/>
      <c:spPr>
        <a:noFill/>
        <a:ln w="0">
          <a:noFill/>
        </a:ln>
      </c:spPr>
      <c:txPr>
        <a:bodyPr/>
        <a:lstStyle/>
        <a:p>
          <a:pPr>
            <a:defRPr sz="1000" b="0" strike="noStrike" spc="-1">
              <a:solidFill>
                <a:srgbClr val="000000"/>
              </a:solidFill>
              <a:latin typeface="Calibri"/>
            </a:defRPr>
          </a:pPr>
          <a:endParaRPr lang="cs-CZ"/>
        </a:p>
      </c:txPr>
    </c:legend>
    <c:plotVisOnly val="1"/>
    <c:dispBlanksAs val="gap"/>
    <c:showDLblsOverMax val="1"/>
  </c:chart>
  <c:spPr>
    <a:solidFill>
      <a:srgbClr val="FFFFFF"/>
    </a:solidFill>
    <a:ln w="9360">
      <a:solidFill>
        <a:srgbClr val="D9D9D9"/>
      </a:solidFill>
      <a:round/>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a:lstStyle/>
          <a:p>
            <a:pPr>
              <a:defRPr sz="1800" b="1" strike="noStrike" spc="-1">
                <a:solidFill>
                  <a:srgbClr val="000000"/>
                </a:solidFill>
                <a:latin typeface="Calibri"/>
              </a:defRPr>
            </a:pPr>
            <a:r>
              <a:rPr lang="cs-CZ" sz="1000" b="1" strike="noStrike" spc="-1">
                <a:solidFill>
                  <a:srgbClr val="000000"/>
                </a:solidFill>
                <a:latin typeface="Calibri"/>
              </a:rPr>
              <a:t>CZ CAL-2028 — Prognóza vývoje ve třech scénářích</a:t>
            </a:r>
          </a:p>
        </c:rich>
      </c:tx>
      <c:overlay val="0"/>
      <c:spPr>
        <a:noFill/>
        <a:ln w="0">
          <a:noFill/>
        </a:ln>
      </c:spPr>
    </c:title>
    <c:autoTitleDeleted val="0"/>
    <c:plotArea>
      <c:layout/>
      <c:lineChart>
        <c:grouping val="standard"/>
        <c:varyColors val="0"/>
        <c:ser>
          <c:idx val="0"/>
          <c:order val="0"/>
          <c:tx>
            <c:strRef>
              <c:f>'CAL-2028 Scénáře'!$B$4</c:f>
              <c:strCache>
                <c:ptCount val="1"/>
                <c:pt idx="0">
                  <c:v>Pesimistický
(EUR/MWh)</c:v>
                </c:pt>
              </c:strCache>
            </c:strRef>
          </c:tx>
          <c:spPr>
            <a:ln w="20160">
              <a:solidFill>
                <a:srgbClr val="C00000"/>
              </a:solidFill>
              <a:round/>
            </a:ln>
          </c:spPr>
          <c:marker>
            <c:symbol val="none"/>
          </c:marker>
          <c:dLbls>
            <c:spPr>
              <a:solidFill>
                <a:schemeClr val="accent2">
                  <a:lumMod val="20000"/>
                  <a:lumOff val="80000"/>
                </a:schemeClr>
              </a:solidFill>
              <a:ln>
                <a:noFill/>
              </a:ln>
              <a:effectLst/>
            </c:spPr>
            <c:txPr>
              <a:bodyPr wrap="none"/>
              <a:lstStyle/>
              <a:p>
                <a:pPr>
                  <a:defRPr sz="900" b="0" strike="noStrike" spc="-1">
                    <a:latin typeface="+mn-lt"/>
                  </a:defRPr>
                </a:pPr>
                <a:endParaRPr lang="cs-CZ"/>
              </a:p>
            </c:txPr>
            <c:dLblPos val="t"/>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'CAL-2028 Scénáře'!$A$5:$A$14</c:f>
              <c:numCache>
                <c:formatCode>d/m/yyyy;@</c:formatCode>
                <c:ptCount val="10"/>
                <c:pt idx="0">
                  <c:v>46203</c:v>
                </c:pt>
                <c:pt idx="1">
                  <c:v>46235</c:v>
                </c:pt>
                <c:pt idx="2">
                  <c:v>46296</c:v>
                </c:pt>
                <c:pt idx="3">
                  <c:v>46357</c:v>
                </c:pt>
                <c:pt idx="4">
                  <c:v>46419</c:v>
                </c:pt>
                <c:pt idx="5">
                  <c:v>46478</c:v>
                </c:pt>
                <c:pt idx="6">
                  <c:v>46539</c:v>
                </c:pt>
                <c:pt idx="7">
                  <c:v>46600</c:v>
                </c:pt>
                <c:pt idx="8">
                  <c:v>46661</c:v>
                </c:pt>
                <c:pt idx="9">
                  <c:v>46722</c:v>
                </c:pt>
              </c:numCache>
            </c:numRef>
          </c:cat>
          <c:val>
            <c:numRef>
              <c:f>'CAL-2028 Scénáře'!$B$5:$B$14</c:f>
              <c:numCache>
                <c:formatCode>#,##0.0</c:formatCode>
                <c:ptCount val="10"/>
                <c:pt idx="0">
                  <c:v>88.22</c:v>
                </c:pt>
                <c:pt idx="1">
                  <c:v>91</c:v>
                </c:pt>
                <c:pt idx="2">
                  <c:v>94.5</c:v>
                </c:pt>
                <c:pt idx="3">
                  <c:v>98.5</c:v>
                </c:pt>
                <c:pt idx="4">
                  <c:v>102.5</c:v>
                </c:pt>
                <c:pt idx="5">
                  <c:v>106</c:v>
                </c:pt>
                <c:pt idx="6">
                  <c:v>109</c:v>
                </c:pt>
                <c:pt idx="7">
                  <c:v>111.5</c:v>
                </c:pt>
                <c:pt idx="8">
                  <c:v>113.5</c:v>
                </c:pt>
                <c:pt idx="9">
                  <c:v>115</c:v>
                </c:pt>
              </c:numCache>
            </c:numRef>
          </c:val>
          <c:smooth val="1"/>
          <c:extLst>
            <c:ext xmlns:c16="http://schemas.microsoft.com/office/drawing/2014/chart" uri="{C3380CC4-5D6E-409C-BE32-E72D297353CC}">
              <c16:uniqueId val="{00000000-FB73-4DCE-9187-D7D8757A69B6}"/>
            </c:ext>
          </c:extLst>
        </c:ser>
        <c:ser>
          <c:idx val="1"/>
          <c:order val="1"/>
          <c:tx>
            <c:strRef>
              <c:f>'CAL-2028 Scénáře'!$C$4</c:f>
              <c:strCache>
                <c:ptCount val="1"/>
                <c:pt idx="0">
                  <c:v>Základní
(EUR/MWh)</c:v>
                </c:pt>
              </c:strCache>
            </c:strRef>
          </c:tx>
          <c:spPr>
            <a:ln w="20160">
              <a:solidFill>
                <a:srgbClr val="0070C0"/>
              </a:solidFill>
              <a:round/>
            </a:ln>
          </c:spPr>
          <c:marker>
            <c:symbol val="none"/>
          </c:marker>
          <c:dLbls>
            <c:dLbl>
              <c:idx val="1"/>
              <c:delete val="1"/>
              <c:extLst>
                <c:ext xmlns:c15="http://schemas.microsoft.com/office/drawing/2012/chart" uri="{CE6537A1-D6FC-4f65-9D91-7224C49458BB}"/>
                <c:ext xmlns:c16="http://schemas.microsoft.com/office/drawing/2014/chart" uri="{C3380CC4-5D6E-409C-BE32-E72D297353CC}">
                  <c16:uniqueId val="{00000004-FB73-4DCE-9187-D7D8757A69B6}"/>
                </c:ext>
              </c:extLst>
            </c:dLbl>
            <c:spPr>
              <a:solidFill>
                <a:schemeClr val="accent5">
                  <a:lumMod val="20000"/>
                  <a:lumOff val="80000"/>
                </a:schemeClr>
              </a:solidFill>
              <a:ln>
                <a:noFill/>
              </a:ln>
              <a:effectLst/>
            </c:spPr>
            <c:txPr>
              <a:bodyPr wrap="none"/>
              <a:lstStyle/>
              <a:p>
                <a:pPr>
                  <a:defRPr sz="900" b="0" strike="noStrike" spc="-1">
                    <a:latin typeface="+mn-lt"/>
                  </a:defRPr>
                </a:pPr>
                <a:endParaRPr lang="cs-CZ"/>
              </a:p>
            </c:txPr>
            <c:dLblPos val="t"/>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'CAL-2028 Scénáře'!$A$5:$A$14</c:f>
              <c:numCache>
                <c:formatCode>d/m/yyyy;@</c:formatCode>
                <c:ptCount val="10"/>
                <c:pt idx="0">
                  <c:v>46203</c:v>
                </c:pt>
                <c:pt idx="1">
                  <c:v>46235</c:v>
                </c:pt>
                <c:pt idx="2">
                  <c:v>46296</c:v>
                </c:pt>
                <c:pt idx="3">
                  <c:v>46357</c:v>
                </c:pt>
                <c:pt idx="4">
                  <c:v>46419</c:v>
                </c:pt>
                <c:pt idx="5">
                  <c:v>46478</c:v>
                </c:pt>
                <c:pt idx="6">
                  <c:v>46539</c:v>
                </c:pt>
                <c:pt idx="7">
                  <c:v>46600</c:v>
                </c:pt>
                <c:pt idx="8">
                  <c:v>46661</c:v>
                </c:pt>
                <c:pt idx="9">
                  <c:v>46722</c:v>
                </c:pt>
              </c:numCache>
            </c:numRef>
          </c:cat>
          <c:val>
            <c:numRef>
              <c:f>'CAL-2028 Scénáře'!$C$5:$C$14</c:f>
              <c:numCache>
                <c:formatCode>#,##0.0</c:formatCode>
                <c:ptCount val="10"/>
                <c:pt idx="0">
                  <c:v>88.22</c:v>
                </c:pt>
                <c:pt idx="1">
                  <c:v>89.5</c:v>
                </c:pt>
                <c:pt idx="2">
                  <c:v>91</c:v>
                </c:pt>
                <c:pt idx="3">
                  <c:v>92.5</c:v>
                </c:pt>
                <c:pt idx="4">
                  <c:v>93.5</c:v>
                </c:pt>
                <c:pt idx="5">
                  <c:v>94.5</c:v>
                </c:pt>
                <c:pt idx="6">
                  <c:v>95.5</c:v>
                </c:pt>
                <c:pt idx="7">
                  <c:v>96.5</c:v>
                </c:pt>
                <c:pt idx="8">
                  <c:v>97</c:v>
                </c:pt>
                <c:pt idx="9">
                  <c:v>97.5</c:v>
                </c:pt>
              </c:numCache>
            </c:numRef>
          </c:val>
          <c:smooth val="1"/>
          <c:extLst>
            <c:ext xmlns:c16="http://schemas.microsoft.com/office/drawing/2014/chart" uri="{C3380CC4-5D6E-409C-BE32-E72D297353CC}">
              <c16:uniqueId val="{00000001-FB73-4DCE-9187-D7D8757A69B6}"/>
            </c:ext>
          </c:extLst>
        </c:ser>
        <c:ser>
          <c:idx val="2"/>
          <c:order val="2"/>
          <c:tx>
            <c:strRef>
              <c:f>'CAL-2028 Scénáře'!$D$4</c:f>
              <c:strCache>
                <c:ptCount val="1"/>
                <c:pt idx="0">
                  <c:v>Optimistický
(EUR/MWh)</c:v>
                </c:pt>
              </c:strCache>
            </c:strRef>
          </c:tx>
          <c:spPr>
            <a:ln w="20160">
              <a:solidFill>
                <a:srgbClr val="375623"/>
              </a:solidFill>
              <a:round/>
            </a:ln>
          </c:spPr>
          <c:marker>
            <c:symbol val="none"/>
          </c:marker>
          <c:dLbls>
            <c:spPr>
              <a:solidFill>
                <a:schemeClr val="accent3">
                  <a:lumMod val="20000"/>
                  <a:lumOff val="80000"/>
                </a:schemeClr>
              </a:solidFill>
              <a:ln>
                <a:noFill/>
              </a:ln>
              <a:effectLst/>
            </c:spPr>
            <c:txPr>
              <a:bodyPr wrap="none"/>
              <a:lstStyle/>
              <a:p>
                <a:pPr>
                  <a:defRPr sz="900" b="0" strike="noStrike" spc="-1">
                    <a:latin typeface="+mn-lt"/>
                  </a:defRPr>
                </a:pPr>
                <a:endParaRPr lang="cs-CZ"/>
              </a:p>
            </c:txPr>
            <c:dLblPos val="b"/>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'CAL-2028 Scénáře'!$A$5:$A$14</c:f>
              <c:numCache>
                <c:formatCode>d/m/yyyy;@</c:formatCode>
                <c:ptCount val="10"/>
                <c:pt idx="0">
                  <c:v>46203</c:v>
                </c:pt>
                <c:pt idx="1">
                  <c:v>46235</c:v>
                </c:pt>
                <c:pt idx="2">
                  <c:v>46296</c:v>
                </c:pt>
                <c:pt idx="3">
                  <c:v>46357</c:v>
                </c:pt>
                <c:pt idx="4">
                  <c:v>46419</c:v>
                </c:pt>
                <c:pt idx="5">
                  <c:v>46478</c:v>
                </c:pt>
                <c:pt idx="6">
                  <c:v>46539</c:v>
                </c:pt>
                <c:pt idx="7">
                  <c:v>46600</c:v>
                </c:pt>
                <c:pt idx="8">
                  <c:v>46661</c:v>
                </c:pt>
                <c:pt idx="9">
                  <c:v>46722</c:v>
                </c:pt>
              </c:numCache>
            </c:numRef>
          </c:cat>
          <c:val>
            <c:numRef>
              <c:f>'CAL-2028 Scénáře'!$D$5:$D$14</c:f>
              <c:numCache>
                <c:formatCode>#,##0.0</c:formatCode>
                <c:ptCount val="10"/>
                <c:pt idx="0">
                  <c:v>88.22</c:v>
                </c:pt>
                <c:pt idx="1">
                  <c:v>88.5</c:v>
                </c:pt>
                <c:pt idx="2">
                  <c:v>88.5</c:v>
                </c:pt>
                <c:pt idx="3">
                  <c:v>88.5</c:v>
                </c:pt>
                <c:pt idx="4">
                  <c:v>88</c:v>
                </c:pt>
                <c:pt idx="5">
                  <c:v>87.5</c:v>
                </c:pt>
                <c:pt idx="6">
                  <c:v>87</c:v>
                </c:pt>
                <c:pt idx="7">
                  <c:v>87</c:v>
                </c:pt>
                <c:pt idx="8">
                  <c:v>87.5</c:v>
                </c:pt>
                <c:pt idx="9">
                  <c:v>88</c:v>
                </c:pt>
              </c:numCache>
            </c:numRef>
          </c:val>
          <c:smooth val="1"/>
          <c:extLst>
            <c:ext xmlns:c16="http://schemas.microsoft.com/office/drawing/2014/chart" uri="{C3380CC4-5D6E-409C-BE32-E72D297353CC}">
              <c16:uniqueId val="{00000002-FB73-4DCE-9187-D7D8757A69B6}"/>
            </c:ext>
          </c:extLst>
        </c:ser>
        <c:ser>
          <c:idx val="3"/>
          <c:order val="3"/>
          <c:tx>
            <c:strRef>
              <c:f>'CAL-2028 Scénáře'!$E$4</c:f>
              <c:strCache>
                <c:ptCount val="1"/>
                <c:pt idx="0">
                  <c:v>Spodní podlaha
(EUR/MWh)</c:v>
                </c:pt>
              </c:strCache>
            </c:strRef>
          </c:tx>
          <c:spPr>
            <a:ln w="14040">
              <a:solidFill>
                <a:srgbClr val="BF8F00"/>
              </a:solidFill>
              <a:prstDash val="dash"/>
              <a:round/>
            </a:ln>
          </c:spPr>
          <c:marker>
            <c:symbol val="none"/>
          </c:marker>
          <c:dLbls>
            <c:spPr>
              <a:noFill/>
              <a:ln>
                <a:noFill/>
              </a:ln>
              <a:effectLst/>
            </c:spPr>
            <c:txPr>
              <a:bodyPr wrap="none"/>
              <a:lstStyle/>
              <a:p>
                <a:pPr>
                  <a:defRPr sz="1000" b="0" strike="noStrike" spc="-1">
                    <a:latin typeface="Arial"/>
                  </a:defRPr>
                </a:pPr>
                <a:endParaRPr lang="cs-CZ"/>
              </a:p>
            </c:tx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ext>
            </c:extLst>
          </c:dLbls>
          <c:cat>
            <c:numRef>
              <c:f>'CAL-2028 Scénáře'!$A$5:$A$14</c:f>
              <c:numCache>
                <c:formatCode>d/m/yyyy;@</c:formatCode>
                <c:ptCount val="10"/>
                <c:pt idx="0">
                  <c:v>46203</c:v>
                </c:pt>
                <c:pt idx="1">
                  <c:v>46235</c:v>
                </c:pt>
                <c:pt idx="2">
                  <c:v>46296</c:v>
                </c:pt>
                <c:pt idx="3">
                  <c:v>46357</c:v>
                </c:pt>
                <c:pt idx="4">
                  <c:v>46419</c:v>
                </c:pt>
                <c:pt idx="5">
                  <c:v>46478</c:v>
                </c:pt>
                <c:pt idx="6">
                  <c:v>46539</c:v>
                </c:pt>
                <c:pt idx="7">
                  <c:v>46600</c:v>
                </c:pt>
                <c:pt idx="8">
                  <c:v>46661</c:v>
                </c:pt>
                <c:pt idx="9">
                  <c:v>46722</c:v>
                </c:pt>
              </c:numCache>
            </c:numRef>
          </c:cat>
          <c:val>
            <c:numRef>
              <c:f>'CAL-2028 Scénáře'!$E$5:$E$14</c:f>
              <c:numCache>
                <c:formatCode>#,##0.0</c:formatCode>
                <c:ptCount val="10"/>
                <c:pt idx="0">
                  <c:v>88.22</c:v>
                </c:pt>
                <c:pt idx="1">
                  <c:v>89</c:v>
                </c:pt>
                <c:pt idx="2">
                  <c:v>90</c:v>
                </c:pt>
                <c:pt idx="3">
                  <c:v>90</c:v>
                </c:pt>
                <c:pt idx="4">
                  <c:v>91</c:v>
                </c:pt>
                <c:pt idx="5">
                  <c:v>91</c:v>
                </c:pt>
                <c:pt idx="6">
                  <c:v>92</c:v>
                </c:pt>
                <c:pt idx="7">
                  <c:v>92</c:v>
                </c:pt>
                <c:pt idx="8">
                  <c:v>93</c:v>
                </c:pt>
                <c:pt idx="9">
                  <c:v>93</c:v>
                </c:pt>
              </c:numCache>
            </c:numRef>
          </c:val>
          <c:smooth val="1"/>
          <c:extLst>
            <c:ext xmlns:c16="http://schemas.microsoft.com/office/drawing/2014/chart" uri="{C3380CC4-5D6E-409C-BE32-E72D297353CC}">
              <c16:uniqueId val="{00000003-FB73-4DCE-9187-D7D8757A69B6}"/>
            </c:ext>
          </c:extLst>
        </c:ser>
        <c:dLbls>
          <c:showLegendKey val="0"/>
          <c:showVal val="0"/>
          <c:showCatName val="0"/>
          <c:showSerName val="0"/>
          <c:showPercent val="0"/>
          <c:showBubbleSize val="0"/>
        </c:dLbls>
        <c:hiLowLines>
          <c:spPr>
            <a:ln w="0">
              <a:noFill/>
            </a:ln>
          </c:spPr>
        </c:hiLowLines>
        <c:smooth val="0"/>
        <c:axId val="34955788"/>
        <c:axId val="53616061"/>
      </c:lineChart>
      <c:dateAx>
        <c:axId val="34955788"/>
        <c:scaling>
          <c:orientation val="minMax"/>
        </c:scaling>
        <c:delete val="0"/>
        <c:axPos val="b"/>
        <c:title>
          <c:tx>
            <c:rich>
              <a:bodyPr rot="0"/>
              <a:lstStyle/>
              <a:p>
                <a:pPr>
                  <a:defRPr sz="1000" b="1" strike="noStrike" spc="-1">
                    <a:solidFill>
                      <a:srgbClr val="000000"/>
                    </a:solidFill>
                    <a:latin typeface="Calibri"/>
                  </a:defRPr>
                </a:pPr>
                <a:r>
                  <a:rPr lang="cs-CZ" sz="1000" b="1" strike="noStrike" spc="-1">
                    <a:solidFill>
                      <a:srgbClr val="000000"/>
                    </a:solidFill>
                    <a:latin typeface="Calibri"/>
                  </a:rPr>
                  <a:t>Období</a:t>
                </a:r>
              </a:p>
            </c:rich>
          </c:tx>
          <c:overlay val="0"/>
          <c:spPr>
            <a:noFill/>
            <a:ln w="0">
              <a:noFill/>
            </a:ln>
          </c:spPr>
        </c:title>
        <c:numFmt formatCode="d/m/yyyy;@" sourceLinked="1"/>
        <c:majorTickMark val="none"/>
        <c:minorTickMark val="none"/>
        <c:tickLblPos val="nextTo"/>
        <c:spPr>
          <a:ln w="9360">
            <a:solidFill>
              <a:srgbClr val="878787"/>
            </a:solidFill>
            <a:round/>
          </a:ln>
        </c:spPr>
        <c:txPr>
          <a:bodyPr/>
          <a:lstStyle/>
          <a:p>
            <a:pPr>
              <a:defRPr sz="900" b="0" strike="noStrike" spc="-1">
                <a:solidFill>
                  <a:srgbClr val="000000"/>
                </a:solidFill>
                <a:latin typeface="Calibri"/>
              </a:defRPr>
            </a:pPr>
            <a:endParaRPr lang="cs-CZ"/>
          </a:p>
        </c:txPr>
        <c:crossAx val="53616061"/>
        <c:crosses val="autoZero"/>
        <c:auto val="1"/>
        <c:lblOffset val="100"/>
        <c:baseTimeUnit val="months"/>
      </c:dateAx>
      <c:valAx>
        <c:axId val="53616061"/>
        <c:scaling>
          <c:orientation val="minMax"/>
          <c:max val="122"/>
          <c:min val="80"/>
        </c:scaling>
        <c:delete val="0"/>
        <c:axPos val="l"/>
        <c:majorGridlines>
          <c:spPr>
            <a:ln w="9360">
              <a:solidFill>
                <a:srgbClr val="878787"/>
              </a:solidFill>
              <a:round/>
            </a:ln>
          </c:spPr>
        </c:majorGridlines>
        <c:title>
          <c:tx>
            <c:rich>
              <a:bodyPr rot="-5400000"/>
              <a:lstStyle/>
              <a:p>
                <a:pPr>
                  <a:defRPr sz="1000" b="1" strike="noStrike" spc="-1">
                    <a:solidFill>
                      <a:srgbClr val="000000"/>
                    </a:solidFill>
                    <a:latin typeface="Calibri"/>
                  </a:defRPr>
                </a:pPr>
                <a:r>
                  <a:rPr lang="cs-CZ" sz="1000" b="1" strike="noStrike" spc="-1">
                    <a:solidFill>
                      <a:srgbClr val="000000"/>
                    </a:solidFill>
                    <a:latin typeface="Calibri"/>
                  </a:rPr>
                  <a:t>EUR/MWh</a:t>
                </a:r>
              </a:p>
            </c:rich>
          </c:tx>
          <c:overlay val="0"/>
          <c:spPr>
            <a:noFill/>
            <a:ln w="0">
              <a:noFill/>
            </a:ln>
          </c:spPr>
        </c:title>
        <c:numFmt formatCode="#,##0.0" sourceLinked="1"/>
        <c:majorTickMark val="none"/>
        <c:minorTickMark val="none"/>
        <c:tickLblPos val="nextTo"/>
        <c:spPr>
          <a:ln w="9360">
            <a:solidFill>
              <a:srgbClr val="878787"/>
            </a:solidFill>
            <a:round/>
          </a:ln>
        </c:spPr>
        <c:txPr>
          <a:bodyPr/>
          <a:lstStyle/>
          <a:p>
            <a:pPr>
              <a:defRPr sz="1000" b="0" strike="noStrike" spc="-1">
                <a:solidFill>
                  <a:srgbClr val="000000"/>
                </a:solidFill>
                <a:latin typeface="Calibri"/>
              </a:defRPr>
            </a:pPr>
            <a:endParaRPr lang="cs-CZ"/>
          </a:p>
        </c:txPr>
        <c:crossAx val="34955788"/>
        <c:crosses val="autoZero"/>
        <c:crossBetween val="between"/>
      </c:valAx>
      <c:spPr>
        <a:noFill/>
        <a:ln w="0">
          <a:noFill/>
        </a:ln>
      </c:spPr>
    </c:plotArea>
    <c:legend>
      <c:legendPos val="b"/>
      <c:overlay val="0"/>
      <c:spPr>
        <a:noFill/>
        <a:ln w="0">
          <a:noFill/>
        </a:ln>
      </c:spPr>
      <c:txPr>
        <a:bodyPr/>
        <a:lstStyle/>
        <a:p>
          <a:pPr>
            <a:defRPr sz="1000" b="0" strike="noStrike" spc="-1">
              <a:solidFill>
                <a:srgbClr val="000000"/>
              </a:solidFill>
              <a:latin typeface="Calibri"/>
            </a:defRPr>
          </a:pPr>
          <a:endParaRPr lang="cs-CZ"/>
        </a:p>
      </c:txPr>
    </c:legend>
    <c:plotVisOnly val="1"/>
    <c:dispBlanksAs val="gap"/>
    <c:showDLblsOverMax val="1"/>
  </c:chart>
  <c:spPr>
    <a:solidFill>
      <a:srgbClr val="FFFFFF"/>
    </a:solidFill>
    <a:ln w="9360">
      <a:solidFill>
        <a:srgbClr val="D9D9D9"/>
      </a:solidFill>
      <a:round/>
    </a:ln>
  </c:spPr>
  <c:externalData r:id="rId2">
    <c:autoUpdate val="0"/>
  </c:externalData>
</c:chartSpace>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Override>
</file>

<file path=word/theme/themeOverride2.xml><?xml version="1.0" encoding="utf-8"?>
<a:themeOverride xmlns:a="http://schemas.openxmlformats.org/drawingml/2006/main">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27</TotalTime>
  <Pages>4</Pages>
  <Words>901</Words>
  <Characters>5319</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Bartošová Monika</dc:creator>
  <cp:keywords/>
  <dc:description/>
  <cp:lastModifiedBy>petr jarkovský</cp:lastModifiedBy>
  <cp:revision>5</cp:revision>
  <dcterms:created xsi:type="dcterms:W3CDTF">2026-07-03T09:49:00Z</dcterms:created>
  <dcterms:modified xsi:type="dcterms:W3CDTF">2026-07-03T10:15:00Z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db696cb-b06f-4214-b638-7b05ae4e5e38_Enabled">
    <vt:lpwstr>true</vt:lpwstr>
  </property>
  <property fmtid="{D5CDD505-2E9C-101B-9397-08002B2CF9AE}" pid="3" name="MSIP_Label_bdb696cb-b06f-4214-b638-7b05ae4e5e38_SetDate">
    <vt:lpwstr>2026-06-29T09:57:27Z</vt:lpwstr>
  </property>
  <property fmtid="{D5CDD505-2E9C-101B-9397-08002B2CF9AE}" pid="4" name="MSIP_Label_bdb696cb-b06f-4214-b638-7b05ae4e5e38_Method">
    <vt:lpwstr>Standard</vt:lpwstr>
  </property>
  <property fmtid="{D5CDD505-2E9C-101B-9397-08002B2CF9AE}" pid="5" name="MSIP_Label_bdb696cb-b06f-4214-b638-7b05ae4e5e38_Name">
    <vt:lpwstr>Interní data</vt:lpwstr>
  </property>
  <property fmtid="{D5CDD505-2E9C-101B-9397-08002B2CF9AE}" pid="6" name="MSIP_Label_bdb696cb-b06f-4214-b638-7b05ae4e5e38_SiteId">
    <vt:lpwstr>53b8d820-e2f7-4682-858f-9e2aeec6ffd9</vt:lpwstr>
  </property>
  <property fmtid="{D5CDD505-2E9C-101B-9397-08002B2CF9AE}" pid="7" name="MSIP_Label_bdb696cb-b06f-4214-b638-7b05ae4e5e38_ActionId">
    <vt:lpwstr>2e7ab4e6-825e-48e0-a191-dfcc471cb7f3</vt:lpwstr>
  </property>
  <property fmtid="{D5CDD505-2E9C-101B-9397-08002B2CF9AE}" pid="8" name="MSIP_Label_bdb696cb-b06f-4214-b638-7b05ae4e5e38_ContentBits">
    <vt:lpwstr>0</vt:lpwstr>
  </property>
  <property fmtid="{D5CDD505-2E9C-101B-9397-08002B2CF9AE}" pid="9" name="MSIP_Label_bdb696cb-b06f-4214-b638-7b05ae4e5e38_Tag">
    <vt:lpwstr>10, 1, 2, 1</vt:lpwstr>
  </property>
</Properties>
</file>