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52568FC" w14:textId="77777777" w:rsidR="00FC5BD9" w:rsidRPr="00FC5BD9" w:rsidRDefault="00FC5BD9" w:rsidP="001D6AC4">
      <w:pPr>
        <w:spacing w:before="280" w:after="280"/>
        <w:jc w:val="center"/>
        <w:rPr>
          <w:rFonts w:ascii="Arial" w:eastAsia="Arial" w:hAnsi="Arial" w:cs="Arial"/>
          <w:color w:val="0E2841"/>
          <w:sz w:val="26"/>
          <w:szCs w:val="26"/>
        </w:rPr>
      </w:pPr>
    </w:p>
    <w:p w14:paraId="67EC92D8" w14:textId="5B4534E5" w:rsidR="00FC5BD9" w:rsidRPr="00FC5BD9" w:rsidRDefault="00FC5BD9" w:rsidP="001D6AC4">
      <w:pPr>
        <w:spacing w:before="280" w:after="280"/>
        <w:jc w:val="center"/>
        <w:rPr>
          <w:rFonts w:ascii="Arial" w:eastAsia="Arial" w:hAnsi="Arial" w:cs="Arial"/>
          <w:b/>
          <w:bCs/>
          <w:color w:val="0E2841"/>
          <w:sz w:val="26"/>
          <w:szCs w:val="26"/>
        </w:rPr>
      </w:pPr>
      <w:r w:rsidRPr="00FC5BD9">
        <w:rPr>
          <w:rFonts w:ascii="Arial" w:eastAsia="Arial" w:hAnsi="Arial" w:cs="Arial"/>
          <w:b/>
          <w:bCs/>
          <w:color w:val="0E2841"/>
          <w:sz w:val="26"/>
          <w:szCs w:val="26"/>
        </w:rPr>
        <w:t>Zákazníci nechtějí další reklamu. Chtějí důvod vrátit se zpět</w:t>
      </w:r>
    </w:p>
    <w:p w14:paraId="7925E036" w14:textId="77777777" w:rsidR="001D6AC4" w:rsidRPr="00FC5BD9" w:rsidRDefault="001D6AC4" w:rsidP="001D6AC4">
      <w:pPr>
        <w:spacing w:before="280" w:after="280"/>
        <w:rPr>
          <w:rFonts w:ascii="Arial" w:eastAsia="Arial" w:hAnsi="Arial" w:cs="Arial"/>
          <w:color w:val="0E2841"/>
          <w:sz w:val="22"/>
          <w:szCs w:val="22"/>
        </w:rPr>
      </w:pPr>
    </w:p>
    <w:p w14:paraId="3D1764CA" w14:textId="42F5F4FF" w:rsidR="00FC5BD9" w:rsidRPr="00FC5BD9" w:rsidRDefault="001D6AC4" w:rsidP="00FC5BD9">
      <w:pPr>
        <w:spacing w:before="280" w:after="280"/>
        <w:rPr>
          <w:rFonts w:ascii="Arial" w:eastAsia="Arial" w:hAnsi="Arial" w:cs="Arial"/>
          <w:b/>
          <w:bCs/>
          <w:color w:val="0E2841"/>
          <w:sz w:val="22"/>
          <w:szCs w:val="22"/>
        </w:rPr>
      </w:pPr>
      <w:r w:rsidRPr="00FC5BD9">
        <w:rPr>
          <w:rFonts w:ascii="Arial" w:eastAsia="Arial" w:hAnsi="Arial" w:cs="Arial"/>
          <w:b/>
          <w:bCs/>
          <w:color w:val="0E2841"/>
          <w:sz w:val="22"/>
          <w:szCs w:val="22"/>
        </w:rPr>
        <w:t xml:space="preserve">Praha, </w:t>
      </w:r>
      <w:r w:rsidR="00F364CF">
        <w:rPr>
          <w:rFonts w:ascii="Arial" w:eastAsia="Arial" w:hAnsi="Arial" w:cs="Arial"/>
          <w:b/>
          <w:bCs/>
          <w:color w:val="0E2841"/>
          <w:sz w:val="22"/>
          <w:szCs w:val="22"/>
        </w:rPr>
        <w:t>1</w:t>
      </w:r>
      <w:r w:rsidR="007853B1">
        <w:rPr>
          <w:rFonts w:ascii="Arial" w:eastAsia="Arial" w:hAnsi="Arial" w:cs="Arial"/>
          <w:b/>
          <w:bCs/>
          <w:color w:val="0E2841"/>
          <w:sz w:val="22"/>
          <w:szCs w:val="22"/>
        </w:rPr>
        <w:t>5</w:t>
      </w:r>
      <w:r w:rsidRPr="00FC5BD9">
        <w:rPr>
          <w:rFonts w:ascii="Arial" w:eastAsia="Arial" w:hAnsi="Arial" w:cs="Arial"/>
          <w:b/>
          <w:bCs/>
          <w:color w:val="0E2841"/>
          <w:sz w:val="22"/>
          <w:szCs w:val="22"/>
        </w:rPr>
        <w:t xml:space="preserve">. </w:t>
      </w:r>
      <w:r w:rsidR="00F364CF">
        <w:rPr>
          <w:rFonts w:ascii="Arial" w:eastAsia="Arial" w:hAnsi="Arial" w:cs="Arial"/>
          <w:b/>
          <w:bCs/>
          <w:color w:val="0E2841"/>
          <w:sz w:val="22"/>
          <w:szCs w:val="22"/>
        </w:rPr>
        <w:t>září</w:t>
      </w:r>
      <w:r w:rsidRPr="00FC5BD9">
        <w:rPr>
          <w:rFonts w:ascii="Arial" w:eastAsia="Arial" w:hAnsi="Arial" w:cs="Arial"/>
          <w:b/>
          <w:bCs/>
          <w:color w:val="0E2841"/>
          <w:sz w:val="22"/>
          <w:szCs w:val="22"/>
        </w:rPr>
        <w:t xml:space="preserve"> 2026 </w:t>
      </w:r>
      <w:r w:rsidR="00FC5BD9" w:rsidRPr="00FC5BD9">
        <w:rPr>
          <w:rFonts w:ascii="Arial" w:eastAsia="Arial" w:hAnsi="Arial" w:cs="Arial"/>
          <w:b/>
          <w:bCs/>
          <w:color w:val="0E2841"/>
          <w:sz w:val="22"/>
          <w:szCs w:val="22"/>
        </w:rPr>
        <w:t>- Zákazníka dnes není těžké oslovit. Mnohem těžší je přimět ho, aby věnoval značce pozornost a po první návštěvě se k ní také vrátil. Spotřebitelé jsou každý den vystaveni velkému množství reklamních sdělení, notifikací, newsletterů, bannerů nebo příspěvků na sociálních sítích. Firmy proto začínají řešit nový problém: další reklamní sdělení už nemusí přinášet další pozornost. Stále důležitější je vytvořit důvod, proč bude chtít zákazník se značkou komunikovat sám.</w:t>
      </w:r>
    </w:p>
    <w:p w14:paraId="752797DE" w14:textId="53FD58FD" w:rsidR="00FC5BD9" w:rsidRPr="00FC5BD9" w:rsidRDefault="00FC5BD9" w:rsidP="00FC5BD9">
      <w:pPr>
        <w:spacing w:before="280" w:after="280"/>
        <w:rPr>
          <w:rFonts w:ascii="Arial" w:eastAsia="Arial" w:hAnsi="Arial" w:cs="Arial"/>
          <w:color w:val="0E2841"/>
          <w:sz w:val="22"/>
          <w:szCs w:val="22"/>
        </w:rPr>
      </w:pPr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Digitální marketing přitom dlouhou dobu fungoval především na principu zvyšování zásahu a frekvence. Pokud zákazník nereagoval, bylo možné jej oslovit znovu jiným bannerem, e-mailem nebo prostřednictvím </w:t>
      </w:r>
      <w:proofErr w:type="spellStart"/>
      <w:r w:rsidRPr="00FC5BD9">
        <w:rPr>
          <w:rFonts w:ascii="Arial" w:eastAsia="Arial" w:hAnsi="Arial" w:cs="Arial"/>
          <w:color w:val="0E2841"/>
          <w:sz w:val="22"/>
          <w:szCs w:val="22"/>
        </w:rPr>
        <w:t>remarketingu</w:t>
      </w:r>
      <w:proofErr w:type="spellEnd"/>
      <w:r w:rsidRPr="00FC5BD9">
        <w:rPr>
          <w:rFonts w:ascii="Arial" w:eastAsia="Arial" w:hAnsi="Arial" w:cs="Arial"/>
          <w:color w:val="0E2841"/>
          <w:sz w:val="22"/>
          <w:szCs w:val="22"/>
        </w:rPr>
        <w:t>. S rostoucím množstvím digitální komunikace ale tento model naráží na své limity. Lidé se naučili velkou část reklamních sdělení jednoduše ignorovat.</w:t>
      </w:r>
      <w:r>
        <w:rPr>
          <w:rFonts w:ascii="Arial" w:eastAsia="Arial" w:hAnsi="Arial" w:cs="Arial"/>
          <w:color w:val="0E2841"/>
          <w:sz w:val="22"/>
          <w:szCs w:val="22"/>
        </w:rPr>
        <w:t xml:space="preserve"> 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>Pro firmy proto začíná být důležitější otázka, co se děje poté, co zákazníka jednou získají. Nestačí přivést jej do e-shopu, aplikace nebo věrnostního programu. Hodnota vzniká především tehdy, pokud se vrací opakovaně.</w:t>
      </w:r>
    </w:p>
    <w:p w14:paraId="358B63A3" w14:textId="5401F23C" w:rsidR="00FC5BD9" w:rsidRPr="00FC5BD9" w:rsidRDefault="00FC5BD9" w:rsidP="00FC5BD9">
      <w:pPr>
        <w:spacing w:before="280" w:after="280"/>
        <w:rPr>
          <w:rFonts w:ascii="Arial" w:eastAsia="Arial" w:hAnsi="Arial" w:cs="Arial"/>
          <w:b/>
          <w:bCs/>
          <w:color w:val="0E2841"/>
          <w:sz w:val="22"/>
          <w:szCs w:val="22"/>
        </w:rPr>
      </w:pPr>
      <w:r w:rsidRPr="00FC5BD9">
        <w:rPr>
          <w:rFonts w:ascii="Arial" w:eastAsia="Arial" w:hAnsi="Arial" w:cs="Arial"/>
          <w:b/>
          <w:bCs/>
          <w:color w:val="0E2841"/>
          <w:sz w:val="22"/>
          <w:szCs w:val="22"/>
        </w:rPr>
        <w:t>Pozornost se stává vzácnější než reklamní prostor</w:t>
      </w:r>
      <w:r>
        <w:rPr>
          <w:rFonts w:ascii="Arial" w:eastAsia="Arial" w:hAnsi="Arial" w:cs="Arial"/>
          <w:b/>
          <w:bCs/>
          <w:color w:val="0E2841"/>
          <w:sz w:val="22"/>
          <w:szCs w:val="22"/>
        </w:rPr>
        <w:br/>
      </w:r>
      <w:r w:rsidRPr="00FC5BD9">
        <w:rPr>
          <w:rFonts w:ascii="Arial" w:eastAsia="Arial" w:hAnsi="Arial" w:cs="Arial"/>
          <w:color w:val="0E2841"/>
          <w:sz w:val="22"/>
          <w:szCs w:val="22"/>
        </w:rPr>
        <w:t>Boj o zákazníka se tak postupně mění v boj o jeho čas a pozornost. Zatímco reklamní prostor lze nakoupit prakticky kdykoliv, skutečný zájem zákazníka koupit nelze. A čím více značek se snaží získat jeho pozornost stejnými prostředky, tím obtížnější je odlišit se.</w:t>
      </w:r>
    </w:p>
    <w:p w14:paraId="4CDF6530" w14:textId="0D6458F8" w:rsidR="00FC5BD9" w:rsidRPr="00FC5BD9" w:rsidRDefault="00FC5BD9" w:rsidP="00FC5BD9">
      <w:pPr>
        <w:rPr>
          <w:rFonts w:ascii="Arial" w:eastAsia="Arial" w:hAnsi="Arial" w:cs="Arial"/>
          <w:color w:val="0E2841"/>
          <w:sz w:val="22"/>
          <w:szCs w:val="22"/>
          <w:highlight w:val="white"/>
        </w:rPr>
      </w:pPr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„Firmy často investují značné prostředky do toho, aby zákazníka přivedly do aplikace nebo e-shopu. Jenže první návštěvou práce teprve začíná. Pokud zákazník nemá důvod přijít podruhé, potřetí nebo za týden, musí firma jeho pozornost znovu kupovat reklamou. Z dlouhodobého pohledu je proto mnohem zajímavější vytvářet prostředí, do kterého se chce vracet sám,“ </w:t>
      </w:r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 xml:space="preserve">říká Silvie </w:t>
      </w:r>
      <w:proofErr w:type="spellStart"/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>Mitvalská</w:t>
      </w:r>
      <w:proofErr w:type="spellEnd"/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 xml:space="preserve"> z </w:t>
      </w:r>
      <w:proofErr w:type="spellStart"/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>loyalty</w:t>
      </w:r>
      <w:proofErr w:type="spellEnd"/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 xml:space="preserve"> </w:t>
      </w:r>
      <w:proofErr w:type="spellStart"/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>plaformy</w:t>
      </w:r>
      <w:proofErr w:type="spellEnd"/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 xml:space="preserve"> </w:t>
      </w:r>
      <w:hyperlink r:id="rId4">
        <w:r w:rsidRPr="00FC5BD9">
          <w:rPr>
            <w:rFonts w:ascii="Arial" w:eastAsia="Arial" w:hAnsi="Arial" w:cs="Arial"/>
            <w:color w:val="0000FF"/>
            <w:sz w:val="22"/>
            <w:szCs w:val="22"/>
            <w:highlight w:val="white"/>
            <w:u w:val="single"/>
          </w:rPr>
          <w:t>Rondo.cz</w:t>
        </w:r>
      </w:hyperlink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>.</w:t>
      </w:r>
    </w:p>
    <w:p w14:paraId="4EA01CC9" w14:textId="77777777" w:rsidR="00FC5BD9" w:rsidRPr="00FC5BD9" w:rsidRDefault="00FC5BD9" w:rsidP="00FC5BD9">
      <w:pPr>
        <w:spacing w:before="280" w:after="280"/>
        <w:rPr>
          <w:rFonts w:ascii="Arial" w:eastAsia="Arial" w:hAnsi="Arial" w:cs="Arial"/>
          <w:color w:val="0E2841"/>
          <w:sz w:val="22"/>
          <w:szCs w:val="22"/>
        </w:rPr>
      </w:pPr>
      <w:r w:rsidRPr="00FC5BD9">
        <w:rPr>
          <w:rFonts w:ascii="Arial" w:eastAsia="Arial" w:hAnsi="Arial" w:cs="Arial"/>
          <w:color w:val="0E2841"/>
          <w:sz w:val="22"/>
          <w:szCs w:val="22"/>
        </w:rPr>
        <w:t>Dobrým příkladem může být aplikace obchodního řetězce. Pokud ji zákazník otevře pouze tehdy, když chce ukázat digitální kartu u pokladny, má firma jen několik příležitostí měsíčně s ním pracovat. Pokud v ní ale pravidelně nachází nové výzvy, odměny nebo jiný interaktivní obsah, vzniká důvod aplikaci otevřít i mezi jednotlivými nákupy. Podobně může banka motivovat klienta nejen k přihlášení kvůli platbě, ale například k objevování nových funkcí nebo využívání dalších služeb.</w:t>
      </w:r>
    </w:p>
    <w:p w14:paraId="00F9E91A" w14:textId="394BCD6F" w:rsidR="00FC5BD9" w:rsidRPr="00FC5BD9" w:rsidRDefault="00FC5BD9" w:rsidP="00FC5BD9">
      <w:pPr>
        <w:spacing w:before="280" w:after="280"/>
        <w:rPr>
          <w:rFonts w:ascii="Arial" w:eastAsia="Arial" w:hAnsi="Arial" w:cs="Arial"/>
          <w:b/>
          <w:bCs/>
          <w:color w:val="0E2841"/>
          <w:sz w:val="22"/>
          <w:szCs w:val="22"/>
        </w:rPr>
      </w:pPr>
      <w:r w:rsidRPr="00FC5BD9">
        <w:rPr>
          <w:rFonts w:ascii="Arial" w:eastAsia="Arial" w:hAnsi="Arial" w:cs="Arial"/>
          <w:b/>
          <w:bCs/>
          <w:color w:val="0E2841"/>
          <w:sz w:val="22"/>
          <w:szCs w:val="22"/>
        </w:rPr>
        <w:t>Místo dalšího banneru přichází interakce</w:t>
      </w:r>
      <w:r>
        <w:rPr>
          <w:rFonts w:ascii="Arial" w:eastAsia="Arial" w:hAnsi="Arial" w:cs="Arial"/>
          <w:b/>
          <w:bCs/>
          <w:color w:val="0E2841"/>
          <w:sz w:val="22"/>
          <w:szCs w:val="22"/>
        </w:rPr>
        <w:br/>
      </w:r>
      <w:r w:rsidRPr="00FC5BD9">
        <w:rPr>
          <w:rFonts w:ascii="Arial" w:eastAsia="Arial" w:hAnsi="Arial" w:cs="Arial"/>
          <w:color w:val="0E2841"/>
          <w:sz w:val="22"/>
          <w:szCs w:val="22"/>
        </w:rPr>
        <w:t>Jedním z trendů je proto posun od jednostranné komunikace k interaktivním formátům. Zákazník už není pouze příjemcem sdělení, ale může něco splnit, získat, objevit, vyhrát nebo postupovat k určité odměně. Právě zde se do zákaznické komunikace dostávají principy známé z herního prostředí.</w:t>
      </w:r>
      <w:r>
        <w:rPr>
          <w:rFonts w:ascii="Arial" w:eastAsia="Arial" w:hAnsi="Arial" w:cs="Arial"/>
          <w:color w:val="0E2841"/>
          <w:sz w:val="22"/>
          <w:szCs w:val="22"/>
        </w:rPr>
        <w:t xml:space="preserve"> 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Gamifikace přitom nemusí znamenat, že firma vytvoří skutečnou hru. Jde především o využití mechanismů, které přirozeně podporují opakované zapojení. Supermarket například může zákazníka odměnit za několik návštěv v určitém období, e-shop vytvořit sérii úkolů spojených s různými kategoriemi produktů a telekomunikační operátor nabídnout postupné odměny za využívání aplikace nebo aktivaci jejích funkcí. </w:t>
      </w:r>
    </w:p>
    <w:p w14:paraId="557A4189" w14:textId="140C037A" w:rsidR="00FC5BD9" w:rsidRPr="00FC5BD9" w:rsidRDefault="00FC5BD9" w:rsidP="00FC5BD9">
      <w:pPr>
        <w:spacing w:before="280" w:after="280"/>
        <w:rPr>
          <w:rFonts w:ascii="Arial" w:eastAsia="Arial" w:hAnsi="Arial" w:cs="Arial"/>
          <w:color w:val="0E2841"/>
          <w:sz w:val="22"/>
          <w:szCs w:val="22"/>
        </w:rPr>
      </w:pPr>
      <w:r>
        <w:rPr>
          <w:rFonts w:ascii="Arial" w:eastAsia="Arial" w:hAnsi="Arial" w:cs="Arial"/>
          <w:color w:val="0E2841"/>
          <w:sz w:val="22"/>
          <w:szCs w:val="22"/>
        </w:rPr>
        <w:t>„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>Herním prvkem může být také jednoduchý postup k cíli, okamžitá odměna, soutěž nebo překvapení po dokončení určité aktivity.</w:t>
      </w:r>
      <w:r>
        <w:rPr>
          <w:rFonts w:ascii="Arial" w:eastAsia="Arial" w:hAnsi="Arial" w:cs="Arial"/>
          <w:color w:val="0E2841"/>
          <w:sz w:val="22"/>
          <w:szCs w:val="22"/>
        </w:rPr>
        <w:t xml:space="preserve"> 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>Důležité přitom je, že zákazník nemusí mít pocit, že je součástí reklamní kampaně. Namísto sdělení „kupte si tento produkt“ dostává konkrétní impuls k aktivitě. Rozdíl může působit nenápadně, z hlediska zákaznického chování je ale zásadní: v jednom případě pouze přijímá reklamu, ve druhém se sám rozhoduje zapojit</w:t>
      </w:r>
      <w:r>
        <w:rPr>
          <w:rFonts w:ascii="Arial" w:eastAsia="Arial" w:hAnsi="Arial" w:cs="Arial"/>
          <w:color w:val="0E2841"/>
          <w:sz w:val="22"/>
          <w:szCs w:val="22"/>
        </w:rPr>
        <w:t>,“ říká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 </w:t>
      </w:r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 xml:space="preserve">Silvie </w:t>
      </w:r>
      <w:proofErr w:type="spellStart"/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>Mitvalská</w:t>
      </w:r>
      <w:proofErr w:type="spellEnd"/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 xml:space="preserve"> z </w:t>
      </w:r>
      <w:hyperlink r:id="rId5">
        <w:r w:rsidRPr="00FC5BD9">
          <w:rPr>
            <w:rFonts w:ascii="Arial" w:eastAsia="Arial" w:hAnsi="Arial" w:cs="Arial"/>
            <w:color w:val="0000FF"/>
            <w:sz w:val="22"/>
            <w:szCs w:val="22"/>
            <w:highlight w:val="white"/>
            <w:u w:val="single"/>
          </w:rPr>
          <w:t>Rondo.cz</w:t>
        </w:r>
      </w:hyperlink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>.</w:t>
      </w:r>
    </w:p>
    <w:p w14:paraId="4BB814E8" w14:textId="32B0CB41" w:rsidR="00FC5BD9" w:rsidRPr="00FC5BD9" w:rsidRDefault="00FC5BD9" w:rsidP="00FC5BD9">
      <w:pPr>
        <w:spacing w:before="280" w:after="280"/>
        <w:rPr>
          <w:rFonts w:ascii="Arial" w:eastAsia="Arial" w:hAnsi="Arial" w:cs="Arial"/>
          <w:b/>
          <w:bCs/>
          <w:color w:val="0E2841"/>
          <w:sz w:val="22"/>
          <w:szCs w:val="22"/>
        </w:rPr>
      </w:pPr>
      <w:r w:rsidRPr="00FC5BD9">
        <w:rPr>
          <w:rFonts w:ascii="Arial" w:eastAsia="Arial" w:hAnsi="Arial" w:cs="Arial"/>
          <w:b/>
          <w:bCs/>
          <w:color w:val="0E2841"/>
          <w:sz w:val="22"/>
          <w:szCs w:val="22"/>
        </w:rPr>
        <w:t>Nejde jen o čas strávený</w:t>
      </w:r>
      <w:r>
        <w:rPr>
          <w:rFonts w:ascii="Arial" w:eastAsia="Arial" w:hAnsi="Arial" w:cs="Arial"/>
          <w:b/>
          <w:bCs/>
          <w:color w:val="0E2841"/>
          <w:sz w:val="22"/>
          <w:szCs w:val="22"/>
        </w:rPr>
        <w:t xml:space="preserve"> na e-shopu či</w:t>
      </w:r>
      <w:r w:rsidRPr="00FC5BD9">
        <w:rPr>
          <w:rFonts w:ascii="Arial" w:eastAsia="Arial" w:hAnsi="Arial" w:cs="Arial"/>
          <w:b/>
          <w:bCs/>
          <w:color w:val="0E2841"/>
          <w:sz w:val="22"/>
          <w:szCs w:val="22"/>
        </w:rPr>
        <w:t xml:space="preserve"> aplikaci</w:t>
      </w:r>
      <w:r>
        <w:rPr>
          <w:rFonts w:ascii="Arial" w:eastAsia="Arial" w:hAnsi="Arial" w:cs="Arial"/>
          <w:b/>
          <w:bCs/>
          <w:color w:val="0E2841"/>
          <w:sz w:val="22"/>
          <w:szCs w:val="22"/>
        </w:rPr>
        <w:br/>
      </w:r>
      <w:proofErr w:type="spellStart"/>
      <w:r w:rsidRPr="00FC5BD9">
        <w:rPr>
          <w:rFonts w:ascii="Arial" w:eastAsia="Arial" w:hAnsi="Arial" w:cs="Arial"/>
          <w:color w:val="0E2841"/>
          <w:sz w:val="22"/>
          <w:szCs w:val="22"/>
        </w:rPr>
        <w:t>Engagement</w:t>
      </w:r>
      <w:proofErr w:type="spellEnd"/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 ale nemá smysl vytvářet samoúčelně. Cílem není pouze udržet zákazníka co nejdéle na obrazovce. Z pohledu firmy je podstatné propojit interakci s konkrétním obchodním cílem – například s opakovaným nákupem, využitím určité služby, aktivací věrnostního programu nebo zvýšením frekvence návštěv.</w:t>
      </w:r>
    </w:p>
    <w:p w14:paraId="7006F766" w14:textId="77777777" w:rsidR="00FC5BD9" w:rsidRPr="00FC5BD9" w:rsidRDefault="00FC5BD9" w:rsidP="00FC5BD9">
      <w:pPr>
        <w:spacing w:before="280" w:after="280"/>
        <w:rPr>
          <w:rFonts w:ascii="Arial" w:eastAsia="Arial" w:hAnsi="Arial" w:cs="Arial"/>
          <w:color w:val="0E2841"/>
          <w:sz w:val="22"/>
          <w:szCs w:val="22"/>
        </w:rPr>
      </w:pPr>
      <w:r w:rsidRPr="00FC5BD9">
        <w:rPr>
          <w:rFonts w:ascii="Arial" w:eastAsia="Arial" w:hAnsi="Arial" w:cs="Arial"/>
          <w:color w:val="0E2841"/>
          <w:sz w:val="22"/>
          <w:szCs w:val="22"/>
        </w:rPr>
        <w:t>Právě tady může být rozdíl mezi jednorázovou soutěží a dlouhodobou prací se zákazníkem. Pokud e-shop jednou nabídne losování o cenu, může získat krátkodobě vysokou účast. Pokud ale dokáže pracovat například s postupnými výzvami během několika měsíců, může zákazníka motivovat k návratu v okamžicích, kdy by jinak neměl důvod e-shop navštívit.</w:t>
      </w:r>
    </w:p>
    <w:p w14:paraId="564DEC34" w14:textId="39D387CA" w:rsidR="00FC5BD9" w:rsidRPr="00FC5BD9" w:rsidRDefault="00F364CF" w:rsidP="00F364CF">
      <w:pPr>
        <w:rPr>
          <w:rFonts w:ascii="Arial" w:eastAsia="Arial" w:hAnsi="Arial" w:cs="Arial"/>
          <w:color w:val="0E2841"/>
          <w:sz w:val="22"/>
          <w:szCs w:val="22"/>
        </w:rPr>
      </w:pPr>
      <w:r>
        <w:rPr>
          <w:rFonts w:ascii="Arial" w:eastAsia="Arial" w:hAnsi="Arial" w:cs="Arial"/>
          <w:color w:val="0E2841"/>
          <w:sz w:val="22"/>
          <w:szCs w:val="22"/>
        </w:rPr>
        <w:t>„</w:t>
      </w:r>
      <w:r w:rsidR="00FC5BD9" w:rsidRPr="00FC5BD9">
        <w:rPr>
          <w:rFonts w:ascii="Arial" w:eastAsia="Arial" w:hAnsi="Arial" w:cs="Arial"/>
          <w:color w:val="0E2841"/>
          <w:sz w:val="22"/>
          <w:szCs w:val="22"/>
        </w:rPr>
        <w:t>Podobně lze pracovat i s různými typy zákazníků. Člověka, který nakupuje několikrát měsíčně, nemusí motivovat stejná věc jako zákazníka, který se půl roku nevrátil. Pro prvního může být zajímavá odměna za pravidelnost, u druhého může fungovat výzva spojená s návratem. Právě propojení gamifikace se zákaznickými daty umožňuje tyto scénáře odlišovat</w:t>
      </w:r>
      <w:r>
        <w:rPr>
          <w:rFonts w:ascii="Arial" w:eastAsia="Arial" w:hAnsi="Arial" w:cs="Arial"/>
          <w:color w:val="0E2841"/>
          <w:sz w:val="22"/>
          <w:szCs w:val="22"/>
        </w:rPr>
        <w:t xml:space="preserve">,“ 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říká </w:t>
      </w:r>
      <w:r>
        <w:rPr>
          <w:rFonts w:ascii="Arial" w:eastAsia="Arial" w:hAnsi="Arial" w:cs="Arial"/>
          <w:color w:val="0E2841"/>
          <w:sz w:val="22"/>
          <w:szCs w:val="22"/>
        </w:rPr>
        <w:t>Petr Polák ze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 </w:t>
      </w:r>
      <w:r>
        <w:rPr>
          <w:rFonts w:ascii="Arial" w:eastAsia="Arial" w:hAnsi="Arial" w:cs="Arial"/>
          <w:color w:val="0E2841"/>
          <w:sz w:val="22"/>
          <w:szCs w:val="22"/>
        </w:rPr>
        <w:t xml:space="preserve">specializovaného e-shopu </w:t>
      </w:r>
      <w:hyperlink r:id="rId6" w:history="1">
        <w:r w:rsidRPr="00FC5BD9">
          <w:rPr>
            <w:rStyle w:val="Hypertextovodkaz"/>
            <w:rFonts w:ascii="Arial" w:eastAsia="Arial" w:hAnsi="Arial" w:cs="Arial"/>
            <w:sz w:val="22"/>
            <w:szCs w:val="22"/>
          </w:rPr>
          <w:t>Trenýrkárna.cz.</w:t>
        </w:r>
      </w:hyperlink>
      <w:r>
        <w:rPr>
          <w:rFonts w:ascii="Arial" w:eastAsia="Arial" w:hAnsi="Arial" w:cs="Arial"/>
          <w:color w:val="0E2841"/>
          <w:sz w:val="22"/>
          <w:szCs w:val="22"/>
        </w:rPr>
        <w:br/>
      </w:r>
    </w:p>
    <w:p w14:paraId="632DD7CA" w14:textId="6AFD039E" w:rsidR="00FC5BD9" w:rsidRPr="00FC5BD9" w:rsidRDefault="00FC5BD9" w:rsidP="00FC5BD9">
      <w:pPr>
        <w:spacing w:before="280" w:after="280"/>
        <w:rPr>
          <w:rFonts w:ascii="Arial" w:eastAsia="Arial" w:hAnsi="Arial" w:cs="Arial"/>
          <w:b/>
          <w:bCs/>
          <w:color w:val="0E2841"/>
          <w:sz w:val="22"/>
          <w:szCs w:val="22"/>
        </w:rPr>
      </w:pPr>
      <w:r w:rsidRPr="00FC5BD9">
        <w:rPr>
          <w:rFonts w:ascii="Arial" w:eastAsia="Arial" w:hAnsi="Arial" w:cs="Arial"/>
          <w:b/>
          <w:bCs/>
          <w:color w:val="0E2841"/>
          <w:sz w:val="22"/>
          <w:szCs w:val="22"/>
        </w:rPr>
        <w:t>Stejná odměna nebude fungovat na každého</w:t>
      </w:r>
      <w:r>
        <w:rPr>
          <w:rFonts w:ascii="Arial" w:eastAsia="Arial" w:hAnsi="Arial" w:cs="Arial"/>
          <w:b/>
          <w:bCs/>
          <w:color w:val="0E2841"/>
          <w:sz w:val="22"/>
          <w:szCs w:val="22"/>
        </w:rPr>
        <w:br/>
      </w:r>
      <w:r w:rsidRPr="00FC5BD9">
        <w:rPr>
          <w:rFonts w:ascii="Arial" w:eastAsia="Arial" w:hAnsi="Arial" w:cs="Arial"/>
          <w:color w:val="0E2841"/>
          <w:sz w:val="22"/>
          <w:szCs w:val="22"/>
        </w:rPr>
        <w:t>Dalším krokem je personalizace. Firma už nemusí všem zákazníkům nabídnout stejnou slevu nebo stejný úkol. Z dat může například poznat, že část zákazníků reaguje na okamžité malé odměny, zatímco jiní jsou ochotni několik týdnů postupovat k hodnotnější výhodě. Někdo reaguje na soutěž, jiný na sbírání nebo dokončování výzev.</w:t>
      </w:r>
    </w:p>
    <w:p w14:paraId="70BC4FCC" w14:textId="25AB3590" w:rsidR="00FC5BD9" w:rsidRPr="00FC5BD9" w:rsidRDefault="00FC5BD9" w:rsidP="00FC5BD9">
      <w:pPr>
        <w:spacing w:before="280" w:after="280"/>
        <w:rPr>
          <w:rFonts w:ascii="Arial" w:eastAsia="Arial" w:hAnsi="Arial" w:cs="Arial"/>
          <w:color w:val="0E2841"/>
          <w:sz w:val="22"/>
          <w:szCs w:val="22"/>
        </w:rPr>
      </w:pPr>
      <w:r>
        <w:rPr>
          <w:rFonts w:ascii="Arial" w:eastAsia="Arial" w:hAnsi="Arial" w:cs="Arial"/>
          <w:color w:val="0E2841"/>
          <w:sz w:val="22"/>
          <w:szCs w:val="22"/>
        </w:rPr>
        <w:t>„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>S rostoucím využíváním umělé inteligence může být takové rozlišování ještě přesnější. AI může pomoci vyhodnocovat zákaznické chování a rozhodovat, jaký typ nabídky nebo interakce má v konkrétní chvíli největší pravděpodobnost úspěchu. Zákaznická komunikace se tak může postupně posouvat od hromadných kampaní k individuálnějším scénářům</w:t>
      </w:r>
      <w:r>
        <w:rPr>
          <w:rFonts w:ascii="Arial" w:eastAsia="Arial" w:hAnsi="Arial" w:cs="Arial"/>
          <w:color w:val="0E2841"/>
          <w:sz w:val="22"/>
          <w:szCs w:val="22"/>
        </w:rPr>
        <w:t>,“ říká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 </w:t>
      </w:r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 xml:space="preserve">Silvie </w:t>
      </w:r>
      <w:proofErr w:type="spellStart"/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>Mitvalská</w:t>
      </w:r>
      <w:proofErr w:type="spellEnd"/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 xml:space="preserve"> z </w:t>
      </w:r>
      <w:hyperlink r:id="rId7">
        <w:r w:rsidRPr="00FC5BD9">
          <w:rPr>
            <w:rFonts w:ascii="Arial" w:eastAsia="Arial" w:hAnsi="Arial" w:cs="Arial"/>
            <w:color w:val="0000FF"/>
            <w:sz w:val="22"/>
            <w:szCs w:val="22"/>
            <w:highlight w:val="white"/>
            <w:u w:val="single"/>
          </w:rPr>
          <w:t>Rondo.cz</w:t>
        </w:r>
      </w:hyperlink>
      <w:r w:rsidRPr="00FC5BD9">
        <w:rPr>
          <w:rFonts w:ascii="Arial" w:eastAsia="Arial" w:hAnsi="Arial" w:cs="Arial"/>
          <w:color w:val="0E2841"/>
          <w:sz w:val="22"/>
          <w:szCs w:val="22"/>
          <w:highlight w:val="white"/>
        </w:rPr>
        <w:t>.</w:t>
      </w:r>
    </w:p>
    <w:p w14:paraId="64F386F9" w14:textId="77777777" w:rsidR="00FC5BD9" w:rsidRPr="00FC5BD9" w:rsidRDefault="00FC5BD9" w:rsidP="00FC5BD9">
      <w:pPr>
        <w:rPr>
          <w:rFonts w:ascii="Arial" w:eastAsia="Arial" w:hAnsi="Arial" w:cs="Arial"/>
          <w:b/>
          <w:bCs/>
          <w:color w:val="0E2841"/>
          <w:sz w:val="22"/>
          <w:szCs w:val="22"/>
        </w:rPr>
      </w:pPr>
      <w:r w:rsidRPr="00FC5BD9">
        <w:rPr>
          <w:rFonts w:ascii="Arial" w:eastAsia="Arial" w:hAnsi="Arial" w:cs="Arial"/>
          <w:b/>
          <w:bCs/>
          <w:color w:val="0E2841"/>
          <w:sz w:val="22"/>
          <w:szCs w:val="22"/>
        </w:rPr>
        <w:t>V praxi rozhoduje, zda se zákazník vrátí i bez slevy</w:t>
      </w:r>
    </w:p>
    <w:p w14:paraId="6D8DED80" w14:textId="77777777" w:rsidR="00FC5BD9" w:rsidRPr="00FC5BD9" w:rsidRDefault="00FC5BD9" w:rsidP="00FC5BD9">
      <w:pPr>
        <w:rPr>
          <w:rFonts w:ascii="Arial" w:eastAsia="Arial" w:hAnsi="Arial" w:cs="Arial"/>
          <w:color w:val="0E2841"/>
          <w:sz w:val="22"/>
          <w:szCs w:val="22"/>
        </w:rPr>
      </w:pPr>
      <w:r w:rsidRPr="00FC5BD9">
        <w:rPr>
          <w:rFonts w:ascii="Arial" w:eastAsia="Arial" w:hAnsi="Arial" w:cs="Arial"/>
          <w:color w:val="0E2841"/>
          <w:sz w:val="22"/>
          <w:szCs w:val="22"/>
        </w:rPr>
        <w:t>Podobný princip využívá také e-shop Trenýrkárna.cz, který Rondo zapojuje do práce se svými zákazníky. Pro e-</w:t>
      </w:r>
      <w:proofErr w:type="spellStart"/>
      <w:r w:rsidRPr="00FC5BD9">
        <w:rPr>
          <w:rFonts w:ascii="Arial" w:eastAsia="Arial" w:hAnsi="Arial" w:cs="Arial"/>
          <w:color w:val="0E2841"/>
          <w:sz w:val="22"/>
          <w:szCs w:val="22"/>
        </w:rPr>
        <w:t>commerce</w:t>
      </w:r>
      <w:proofErr w:type="spellEnd"/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 je přitom důležité zejména to, že kontakt se zákazníkem nemusí skončit potvrzením objednávky a začít znovu až ve chvíli, kdy mu obchod pošle další slevový newsletter. Herní a odměnové mechanismy mohou vytvořit další příležitost k interakci a udržovat značku v kontaktu se zákazníkem i v období mezi jednotlivými nákupy.</w:t>
      </w:r>
    </w:p>
    <w:p w14:paraId="4A71AE1D" w14:textId="77777777" w:rsidR="00FC5BD9" w:rsidRDefault="00FC5BD9" w:rsidP="00FC5BD9">
      <w:pPr>
        <w:rPr>
          <w:rFonts w:ascii="Arial" w:eastAsia="Arial" w:hAnsi="Arial" w:cs="Arial"/>
          <w:color w:val="0E2841"/>
          <w:sz w:val="22"/>
          <w:szCs w:val="22"/>
        </w:rPr>
      </w:pPr>
    </w:p>
    <w:p w14:paraId="5226C107" w14:textId="35DF7B5C" w:rsidR="001D6AC4" w:rsidRPr="00FC5BD9" w:rsidRDefault="00FC5BD9" w:rsidP="00FC5BD9">
      <w:pPr>
        <w:rPr>
          <w:rFonts w:ascii="Arial" w:eastAsia="Arial" w:hAnsi="Arial" w:cs="Arial"/>
          <w:color w:val="0E2841"/>
          <w:sz w:val="22"/>
          <w:szCs w:val="22"/>
        </w:rPr>
      </w:pPr>
      <w:r w:rsidRPr="00FC5BD9">
        <w:rPr>
          <w:rFonts w:ascii="Arial" w:eastAsia="Arial" w:hAnsi="Arial" w:cs="Arial"/>
          <w:color w:val="0E2841"/>
          <w:sz w:val="22"/>
          <w:szCs w:val="22"/>
        </w:rPr>
        <w:t>„V e-</w:t>
      </w:r>
      <w:proofErr w:type="spellStart"/>
      <w:r w:rsidRPr="00FC5BD9">
        <w:rPr>
          <w:rFonts w:ascii="Arial" w:eastAsia="Arial" w:hAnsi="Arial" w:cs="Arial"/>
          <w:color w:val="0E2841"/>
          <w:sz w:val="22"/>
          <w:szCs w:val="22"/>
        </w:rPr>
        <w:t>commerce</w:t>
      </w:r>
      <w:proofErr w:type="spellEnd"/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 je velmi snadné sklouznout k tomu, že zákazníka motivujete pořád stejným způsobem</w:t>
      </w:r>
      <w:r w:rsidR="00F364CF">
        <w:rPr>
          <w:rFonts w:ascii="Arial" w:eastAsia="Arial" w:hAnsi="Arial" w:cs="Arial"/>
          <w:color w:val="0E2841"/>
          <w:sz w:val="22"/>
          <w:szCs w:val="22"/>
        </w:rPr>
        <w:t>. P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ošlete mu slevu a čekáte, jestli nakoupí. Jenže tím si postupně vychováváte zákazníka, který čeká hlavně na další slevový kód. My chceme, aby měl důvod se k nám vracet i jinak,“ </w:t>
      </w:r>
      <w:r w:rsidR="00F364CF">
        <w:rPr>
          <w:rFonts w:ascii="Arial" w:eastAsia="Arial" w:hAnsi="Arial" w:cs="Arial"/>
          <w:color w:val="0E2841"/>
          <w:sz w:val="22"/>
          <w:szCs w:val="22"/>
        </w:rPr>
        <w:t>dodává</w:t>
      </w:r>
      <w:r w:rsidRPr="00FC5BD9">
        <w:rPr>
          <w:rFonts w:ascii="Arial" w:eastAsia="Arial" w:hAnsi="Arial" w:cs="Arial"/>
          <w:color w:val="0E2841"/>
          <w:sz w:val="22"/>
          <w:szCs w:val="22"/>
        </w:rPr>
        <w:t xml:space="preserve"> </w:t>
      </w:r>
      <w:r>
        <w:rPr>
          <w:rFonts w:ascii="Arial" w:eastAsia="Arial" w:hAnsi="Arial" w:cs="Arial"/>
          <w:color w:val="0E2841"/>
          <w:sz w:val="22"/>
          <w:szCs w:val="22"/>
        </w:rPr>
        <w:t xml:space="preserve">Petr Polák </w:t>
      </w:r>
      <w:hyperlink r:id="rId8" w:history="1">
        <w:r w:rsidRPr="00FC5BD9">
          <w:rPr>
            <w:rStyle w:val="Hypertextovodkaz"/>
            <w:rFonts w:ascii="Arial" w:eastAsia="Arial" w:hAnsi="Arial" w:cs="Arial"/>
            <w:sz w:val="22"/>
            <w:szCs w:val="22"/>
          </w:rPr>
          <w:t>Trenýrkárna.cz.</w:t>
        </w:r>
      </w:hyperlink>
    </w:p>
    <w:p w14:paraId="57738971" w14:textId="77777777" w:rsidR="00DA4CF8" w:rsidRPr="00FC5BD9" w:rsidRDefault="00DA4CF8"/>
    <w:sectPr w:rsidR="00DA4CF8" w:rsidRPr="00FC5BD9" w:rsidSect="001D6AC4"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21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AC4"/>
    <w:rsid w:val="00193F80"/>
    <w:rsid w:val="001D6AC4"/>
    <w:rsid w:val="004A6749"/>
    <w:rsid w:val="004F52C3"/>
    <w:rsid w:val="005C3DD2"/>
    <w:rsid w:val="006A3BA3"/>
    <w:rsid w:val="007853B1"/>
    <w:rsid w:val="008A1EE2"/>
    <w:rsid w:val="00A5741F"/>
    <w:rsid w:val="00CB7455"/>
    <w:rsid w:val="00D33D36"/>
    <w:rsid w:val="00D35164"/>
    <w:rsid w:val="00DA4CF8"/>
    <w:rsid w:val="00F364CF"/>
    <w:rsid w:val="00FC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A2C4C7"/>
  <w15:chartTrackingRefBased/>
  <w15:docId w15:val="{5324A033-A08B-0742-9892-7F61E11A6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6AC4"/>
    <w:rPr>
      <w:rFonts w:ascii="Aptos" w:eastAsia="Aptos" w:hAnsi="Aptos" w:cs="Aptos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D6A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s-CZ"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D6A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s-CZ"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D6A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s-CZ"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D6A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val="cs-CZ"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D6A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val="cs-CZ"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D6AC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cs-CZ"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D6AC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val="cs-CZ"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D6AC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cs-CZ"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D6AC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val="cs-CZ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6A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D6A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D6A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D6AC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D6AC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D6AC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6AC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D6AC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D6AC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D6A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</w:rPr>
  </w:style>
  <w:style w:type="character" w:customStyle="1" w:styleId="NzevChar">
    <w:name w:val="Název Char"/>
    <w:basedOn w:val="Standardnpsmoodstavce"/>
    <w:link w:val="Nzev"/>
    <w:uiPriority w:val="10"/>
    <w:rsid w:val="001D6A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D6AC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s-CZ"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1D6A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D6AC4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cs-CZ" w:eastAsia="en-US"/>
    </w:rPr>
  </w:style>
  <w:style w:type="character" w:customStyle="1" w:styleId="CittChar">
    <w:name w:val="Citát Char"/>
    <w:basedOn w:val="Standardnpsmoodstavce"/>
    <w:link w:val="Citt"/>
    <w:uiPriority w:val="29"/>
    <w:rsid w:val="001D6AC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D6AC4"/>
    <w:pPr>
      <w:ind w:left="720"/>
      <w:contextualSpacing/>
    </w:pPr>
    <w:rPr>
      <w:rFonts w:asciiTheme="minorHAnsi" w:eastAsiaTheme="minorHAnsi" w:hAnsiTheme="minorHAnsi" w:cstheme="minorBidi"/>
      <w:lang w:val="cs-CZ" w:eastAsia="en-US"/>
    </w:rPr>
  </w:style>
  <w:style w:type="character" w:styleId="Zdraznnintenzivn">
    <w:name w:val="Intense Emphasis"/>
    <w:basedOn w:val="Standardnpsmoodstavce"/>
    <w:uiPriority w:val="21"/>
    <w:qFormat/>
    <w:rsid w:val="001D6AC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D6A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val="cs-CZ"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D6AC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D6AC4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C5BD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C5B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nyrkarna.c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rondo.cz/partner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enyrkarna.cz/" TargetMode="External"/><Relationship Id="rId5" Type="http://schemas.openxmlformats.org/officeDocument/2006/relationships/hyperlink" Target="https://www.rondo.cz/partneri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rondo.cz/partner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1000</Words>
  <Characters>5431</Characters>
  <Application>Microsoft Office Word</Application>
  <DocSecurity>0</DocSecurity>
  <Lines>78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2</cp:revision>
  <dcterms:created xsi:type="dcterms:W3CDTF">2026-09-14T18:49:00Z</dcterms:created>
  <dcterms:modified xsi:type="dcterms:W3CDTF">2026-09-14T18:49:00Z</dcterms:modified>
  <cp:category/>
</cp:coreProperties>
</file>