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BAAB975" w14:textId="77777777" w:rsidR="00637D21" w:rsidRDefault="00637D21" w:rsidP="00D159C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32"/>
          <w:szCs w:val="32"/>
        </w:rPr>
      </w:pPr>
    </w:p>
    <w:p w14:paraId="745383D5" w14:textId="39EC7EC1" w:rsidR="00D159C3" w:rsidRDefault="00EE70F2" w:rsidP="00D159C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28"/>
          <w:szCs w:val="28"/>
        </w:rPr>
      </w:pPr>
      <w:r>
        <w:rPr>
          <w:rFonts w:ascii="Calibri" w:eastAsia="Calibri" w:hAnsi="Calibri" w:cs="Calibri"/>
          <w:b/>
          <w:color w:val="1D4090"/>
          <w:sz w:val="28"/>
          <w:szCs w:val="28"/>
        </w:rPr>
        <w:t>Analýza nabídek na p</w:t>
      </w:r>
      <w:r w:rsidR="00D159C3">
        <w:rPr>
          <w:rFonts w:ascii="Calibri" w:eastAsia="Calibri" w:hAnsi="Calibri" w:cs="Calibri"/>
          <w:b/>
          <w:color w:val="1D4090"/>
          <w:sz w:val="28"/>
          <w:szCs w:val="28"/>
        </w:rPr>
        <w:t>ortálu</w:t>
      </w:r>
      <w:r w:rsidR="004679E7" w:rsidRPr="00EE70F2">
        <w:rPr>
          <w:rFonts w:ascii="Calibri" w:eastAsia="Calibri" w:hAnsi="Calibri" w:cs="Calibri"/>
          <w:b/>
          <w:color w:val="1D4090"/>
          <w:sz w:val="28"/>
          <w:szCs w:val="28"/>
        </w:rPr>
        <w:t xml:space="preserve"> JenPráce.cz napříč regiony</w:t>
      </w:r>
      <w:r w:rsidR="001F5EE6">
        <w:rPr>
          <w:rFonts w:ascii="Calibri" w:eastAsia="Calibri" w:hAnsi="Calibri" w:cs="Calibri"/>
          <w:b/>
          <w:color w:val="1D4090"/>
          <w:sz w:val="28"/>
          <w:szCs w:val="28"/>
        </w:rPr>
        <w:t>. Každý kraj hledá jiné pracovníky a má často jiné požadavky na vzdělání</w:t>
      </w:r>
    </w:p>
    <w:p w14:paraId="2FFF2567" w14:textId="77777777" w:rsidR="00D159C3" w:rsidRDefault="00D159C3" w:rsidP="00D159C3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28"/>
          <w:szCs w:val="28"/>
        </w:rPr>
      </w:pPr>
    </w:p>
    <w:p w14:paraId="42A4C4C0" w14:textId="74619C7A" w:rsidR="00D159C3" w:rsidRDefault="00D159C3" w:rsidP="00D159C3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22"/>
          <w:szCs w:val="22"/>
        </w:rPr>
      </w:pPr>
      <w:r>
        <w:rPr>
          <w:rFonts w:ascii="Calibri" w:eastAsia="Calibri" w:hAnsi="Calibri" w:cs="Calibri"/>
          <w:b/>
          <w:color w:val="1D4090"/>
          <w:sz w:val="22"/>
          <w:szCs w:val="22"/>
        </w:rPr>
        <w:t>S</w:t>
      </w:r>
      <w:r w:rsidRPr="00D159C3">
        <w:rPr>
          <w:rFonts w:ascii="Calibri" w:eastAsia="Calibri" w:hAnsi="Calibri" w:cs="Calibri"/>
          <w:b/>
          <w:color w:val="1D4090"/>
          <w:sz w:val="22"/>
          <w:szCs w:val="22"/>
        </w:rPr>
        <w:t>rovnání Prahy a Moravskoslezského kraje ukazuje největší regionální kontrast</w:t>
      </w:r>
    </w:p>
    <w:p w14:paraId="6DEFC2CE" w14:textId="2D80D62A" w:rsidR="00D159C3" w:rsidRDefault="00D159C3" w:rsidP="00D159C3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22"/>
          <w:szCs w:val="22"/>
        </w:rPr>
      </w:pPr>
      <w:r w:rsidRPr="00D159C3">
        <w:rPr>
          <w:rFonts w:ascii="Calibri" w:eastAsia="Calibri" w:hAnsi="Calibri" w:cs="Calibri"/>
          <w:b/>
          <w:color w:val="1D4090"/>
          <w:sz w:val="22"/>
          <w:szCs w:val="22"/>
        </w:rPr>
        <w:t>Ústecký kraj zpřísňuje kvalifikační nároky. Podíl nabídek s maturitou vzrostl z 30,9 na 45,7 procenta</w:t>
      </w:r>
    </w:p>
    <w:p w14:paraId="5FB0B0FF" w14:textId="2698D028" w:rsidR="001F5EE6" w:rsidRDefault="001F5EE6" w:rsidP="00D159C3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22"/>
          <w:szCs w:val="22"/>
        </w:rPr>
      </w:pPr>
      <w:r w:rsidRPr="001F5EE6">
        <w:rPr>
          <w:rFonts w:ascii="Calibri" w:eastAsia="Calibri" w:hAnsi="Calibri" w:cs="Calibri"/>
          <w:b/>
          <w:color w:val="1D4090"/>
          <w:sz w:val="22"/>
          <w:szCs w:val="22"/>
        </w:rPr>
        <w:t>Karlovarský kraj má nejnižší podíl strojírenství, ale mimořádnou poptávku po lékařích, sestrách a fyzioterapeutech</w:t>
      </w:r>
    </w:p>
    <w:p w14:paraId="0BD8E628" w14:textId="29E19D69" w:rsidR="001F5EE6" w:rsidRDefault="001F5EE6" w:rsidP="00D159C3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22"/>
          <w:szCs w:val="22"/>
        </w:rPr>
      </w:pPr>
      <w:r w:rsidRPr="001F5EE6">
        <w:rPr>
          <w:rFonts w:ascii="Calibri" w:eastAsia="Calibri" w:hAnsi="Calibri" w:cs="Calibri"/>
          <w:b/>
          <w:color w:val="1D4090"/>
          <w:sz w:val="22"/>
          <w:szCs w:val="22"/>
        </w:rPr>
        <w:t>Jihomoravský kraj není pouze technologické Brno. Nejrychleji zde rostou řemesla, výroba a stavebnictví</w:t>
      </w:r>
    </w:p>
    <w:p w14:paraId="46A39388" w14:textId="5FA9E18B" w:rsidR="001F5EE6" w:rsidRDefault="001F5EE6" w:rsidP="00D159C3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22"/>
          <w:szCs w:val="22"/>
        </w:rPr>
      </w:pPr>
      <w:r w:rsidRPr="001F5EE6">
        <w:rPr>
          <w:rFonts w:ascii="Calibri" w:eastAsia="Calibri" w:hAnsi="Calibri" w:cs="Calibri"/>
          <w:b/>
          <w:color w:val="1D4090"/>
          <w:sz w:val="22"/>
          <w:szCs w:val="22"/>
        </w:rPr>
        <w:t xml:space="preserve">Olomoucký kraj zažívá strojírenský vzestup. Podíl oboru se za dva roky zvýšil o </w:t>
      </w:r>
      <w:proofErr w:type="gramStart"/>
      <w:r w:rsidRPr="001F5EE6">
        <w:rPr>
          <w:rFonts w:ascii="Calibri" w:eastAsia="Calibri" w:hAnsi="Calibri" w:cs="Calibri"/>
          <w:b/>
          <w:color w:val="1D4090"/>
          <w:sz w:val="22"/>
          <w:szCs w:val="22"/>
        </w:rPr>
        <w:t>4,3 procentního</w:t>
      </w:r>
      <w:proofErr w:type="gramEnd"/>
      <w:r w:rsidRPr="001F5EE6">
        <w:rPr>
          <w:rFonts w:ascii="Calibri" w:eastAsia="Calibri" w:hAnsi="Calibri" w:cs="Calibri"/>
          <w:b/>
          <w:color w:val="1D4090"/>
          <w:sz w:val="22"/>
          <w:szCs w:val="22"/>
        </w:rPr>
        <w:t xml:space="preserve"> bodu</w:t>
      </w:r>
    </w:p>
    <w:p w14:paraId="336E711F" w14:textId="4099E0C1" w:rsidR="00C34A28" w:rsidRPr="00D159C3" w:rsidRDefault="00D159C3" w:rsidP="00D159C3">
      <w:pPr>
        <w:pStyle w:val="Odstavecseseznamem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1D4090"/>
          <w:sz w:val="22"/>
          <w:szCs w:val="22"/>
        </w:rPr>
      </w:pPr>
      <w:r w:rsidRPr="00D159C3">
        <w:rPr>
          <w:rFonts w:ascii="Calibri" w:eastAsia="Calibri" w:hAnsi="Calibri" w:cs="Calibri"/>
          <w:b/>
          <w:color w:val="1D4090"/>
          <w:sz w:val="22"/>
          <w:szCs w:val="22"/>
        </w:rPr>
        <w:t>Benefity kopírují charakter práce. Praha nabízí flexibilitu, regiony dopravu, stravování a finanční prémie</w:t>
      </w:r>
      <w:r w:rsidR="00C34A28" w:rsidRPr="00D159C3">
        <w:rPr>
          <w:rFonts w:ascii="Calibri" w:eastAsia="Calibri" w:hAnsi="Calibri" w:cs="Calibri"/>
          <w:b/>
          <w:color w:val="1D4090"/>
          <w:sz w:val="22"/>
          <w:szCs w:val="22"/>
        </w:rPr>
        <w:br/>
      </w:r>
      <w:r w:rsidR="008F5633" w:rsidRPr="00D159C3">
        <w:rPr>
          <w:rFonts w:ascii="Calibri" w:eastAsia="Calibri" w:hAnsi="Calibri" w:cs="Calibri"/>
          <w:b/>
          <w:color w:val="1D4090"/>
          <w:sz w:val="22"/>
          <w:szCs w:val="22"/>
        </w:rPr>
        <w:t xml:space="preserve"> </w:t>
      </w:r>
    </w:p>
    <w:p w14:paraId="448D56DF" w14:textId="0496C455" w:rsidR="00811F9D" w:rsidRDefault="00811F9D" w:rsidP="001724A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4"/>
          <w:szCs w:val="24"/>
        </w:rPr>
      </w:pPr>
    </w:p>
    <w:p w14:paraId="0A182EB1" w14:textId="5EF8C7BA" w:rsidR="00EE70F2" w:rsidRPr="00EE70F2" w:rsidRDefault="00EE70F2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b/>
          <w:bCs/>
          <w:color w:val="242E59"/>
          <w:sz w:val="21"/>
          <w:szCs w:val="21"/>
        </w:rPr>
        <w:t xml:space="preserve">Praha, </w:t>
      </w:r>
      <w:r w:rsidR="007B0C72">
        <w:rPr>
          <w:rFonts w:ascii="Calibri" w:eastAsia="Calibri" w:hAnsi="Calibri" w:cs="Calibri"/>
          <w:b/>
          <w:bCs/>
          <w:color w:val="242E59"/>
          <w:sz w:val="21"/>
          <w:szCs w:val="21"/>
        </w:rPr>
        <w:t>22</w:t>
      </w:r>
      <w:r w:rsidRPr="00EE70F2">
        <w:rPr>
          <w:rFonts w:ascii="Calibri" w:eastAsia="Calibri" w:hAnsi="Calibri" w:cs="Calibri"/>
          <w:b/>
          <w:bCs/>
          <w:color w:val="242E59"/>
          <w:sz w:val="21"/>
          <w:szCs w:val="21"/>
        </w:rPr>
        <w:t xml:space="preserve">. září 2026 - </w:t>
      </w:r>
      <w:r w:rsidR="004679E7" w:rsidRPr="00EE70F2">
        <w:rPr>
          <w:rFonts w:ascii="Calibri" w:eastAsia="Calibri" w:hAnsi="Calibri" w:cs="Calibri"/>
          <w:b/>
          <w:bCs/>
          <w:color w:val="242E59"/>
          <w:sz w:val="21"/>
          <w:szCs w:val="21"/>
        </w:rPr>
        <w:t xml:space="preserve">Český pracovní trh nelze posuzovat pouze podle celostátní nezaměstnanosti nebo průměrné mzdy. Nejnovější analýza pracovních nabídek zveřejněných na portálu JenPráce.cz ukazuje, že zaměstnavatelé v jednotlivých krajích hledají výrazně odlišné profese, požadují jinou úroveň vzdělání a liší se také v benefitech, kterými se snaží uchazeče oslovit. </w:t>
      </w:r>
    </w:p>
    <w:p w14:paraId="65734436" w14:textId="77777777" w:rsidR="00EE70F2" w:rsidRPr="00EE70F2" w:rsidRDefault="00EE70F2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1"/>
          <w:szCs w:val="21"/>
        </w:rPr>
      </w:pPr>
    </w:p>
    <w:p w14:paraId="40478F21" w14:textId="77777777" w:rsidR="00EE70F2" w:rsidRPr="00EE70F2" w:rsidRDefault="00EE70F2" w:rsidP="00EE70F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„</w:t>
      </w:r>
      <w:r w:rsidR="004679E7" w:rsidRPr="00EE70F2">
        <w:rPr>
          <w:rFonts w:ascii="Calibri" w:eastAsia="Calibri" w:hAnsi="Calibri" w:cs="Calibri"/>
          <w:color w:val="242E59"/>
          <w:sz w:val="21"/>
          <w:szCs w:val="21"/>
        </w:rPr>
        <w:t>Zatímco Praha stojí především na službách, administrativě, gastronomii a financích, Moravskoslezský kraj zůstává silně průmyslový. Středočeský kraj je tuzemským centrem logistiky, Karlovarský kraj vyčnívá zdravotnictvím a cestovním ruchem a Vysočina strojírenstvím</w:t>
      </w:r>
      <w:r w:rsidRPr="00EE70F2">
        <w:rPr>
          <w:rFonts w:ascii="Calibri" w:eastAsia="Calibri" w:hAnsi="Calibri" w:cs="Calibri"/>
          <w:color w:val="242E59"/>
          <w:sz w:val="21"/>
          <w:szCs w:val="21"/>
        </w:rPr>
        <w:t>,“ říká Michal Španěl, manažer a datový analytik pracovního portálu JenPráce.cz.</w:t>
      </w:r>
    </w:p>
    <w:p w14:paraId="6CD6CBCF" w14:textId="144AB1A5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7F31829C" w14:textId="6F9E832E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Rozdíly mezi českými regiony nejsou pouze otázkou toho, zda je v nich více průmyslu, služeb nebo zemědělství. Promítají se do konkrétních profesí, kvalifikačních požadavků i způsobu, jakým firmy zaměstnance získávají. Data pracovního portálu JenPráce.cz za roky 2024 až 2026 ukazují, že vedle sebe v Česku existuje několik značně odlišných pracovních trhů.</w:t>
      </w:r>
      <w:r w:rsidR="00DA1252">
        <w:rPr>
          <w:rFonts w:ascii="Calibri" w:eastAsia="Calibri" w:hAnsi="Calibri" w:cs="Calibri"/>
          <w:color w:val="242E59"/>
          <w:sz w:val="21"/>
          <w:szCs w:val="21"/>
        </w:rPr>
        <w:t xml:space="preserve"> </w:t>
      </w:r>
      <w:r w:rsidRPr="00EE70F2">
        <w:rPr>
          <w:rFonts w:ascii="Calibri" w:eastAsia="Calibri" w:hAnsi="Calibri" w:cs="Calibri"/>
          <w:color w:val="242E59"/>
          <w:sz w:val="21"/>
          <w:szCs w:val="21"/>
        </w:rPr>
        <w:t>Nejvýraznější hranice vede mezi Prahou a průmyslovými regiony. V hlavním městě tvoří v roce 2026 administrativa a zákaznický servis 10,6 procenta oborové struktury pracovních nabídek, gastronomie osm procent a stavebnictví s realitami 7,8 procenta. Všechny tyto podíly jsou výrazně vyšší než celorepublikový průměr. Naopak průmyslová a chemická výroba představuje v Praze pouze 3,3 procenta nabídek oproti 11,4 procenta v celé republice.</w:t>
      </w:r>
    </w:p>
    <w:p w14:paraId="5771163B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296CA7FD" w14:textId="17DF160E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„Celostátní pohled řadu podstatných rozdílů zakrývá. Uchazeč v Praze, na Vysočině nebo v Moravskoslezském kraji vstupuje na pracovního trh s úplně jinou skladbou nabídek. Regiony se neliší jen počtem volných míst, ale především tím, koho firmy hledají a jaké předpoklady od něj očekávají,“ říká Michal Španěl, manažer a datový analytik pracovního portálu JenPráce.cz.</w:t>
      </w:r>
    </w:p>
    <w:p w14:paraId="3591C944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48755E6A" w14:textId="08A17853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b/>
          <w:bCs/>
          <w:color w:val="242E59"/>
          <w:sz w:val="21"/>
          <w:szCs w:val="21"/>
        </w:rPr>
        <w:t>Praha a Moravskoslezský kraj stojí na opačných pólech</w:t>
      </w:r>
    </w:p>
    <w:p w14:paraId="59B3E99D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 xml:space="preserve">Právě srovnání Prahy a Moravskoslezského kraje ukazuje největší regionální kontrast. Průmyslová a chemická výroba tvoří v Moravskoslezském kraji 20,5 procenta oborové struktury, tedy více než šestkrát větší podíl než v Praze. Řemeslná a manuální práce zde dosahuje 20,2 </w:t>
      </w:r>
      <w:r w:rsidRPr="00EE70F2">
        <w:rPr>
          <w:rFonts w:ascii="Calibri" w:eastAsia="Calibri" w:hAnsi="Calibri" w:cs="Calibri"/>
          <w:color w:val="242E59"/>
          <w:sz w:val="21"/>
          <w:szCs w:val="21"/>
        </w:rPr>
        <w:lastRenderedPageBreak/>
        <w:t>procenta oproti pražským 7,2 procenta a strojírenství s automobilovým průmyslem 16,8 procenta proti 5,4 procenta.</w:t>
      </w:r>
    </w:p>
    <w:p w14:paraId="04F50363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66161575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 xml:space="preserve">Rozdíl je ještě viditelnější u konkrétních profesí. Dělníci tvoří v Moravskoslezském kraji 15,5 procenta profesní struktury, zatímco v Praze pouze 2,2 procenta. U obsluhy strojů je poměr 8,3 ku 0,9 procenta a u operátorů výroby 5,4 ku 0,6 procenta. Praha má naopak výrazně vyšší zastoupení prodavačů, administrativních pracovníků, kuchařů, číšníků, baristů nebo pracovníků </w:t>
      </w:r>
      <w:proofErr w:type="spellStart"/>
      <w:r w:rsidRPr="00EE70F2">
        <w:rPr>
          <w:rFonts w:ascii="Calibri" w:eastAsia="Calibri" w:hAnsi="Calibri" w:cs="Calibri"/>
          <w:color w:val="242E59"/>
          <w:sz w:val="21"/>
          <w:szCs w:val="21"/>
        </w:rPr>
        <w:t>back</w:t>
      </w:r>
      <w:proofErr w:type="spellEnd"/>
      <w:r w:rsidRPr="00EE70F2">
        <w:rPr>
          <w:rFonts w:ascii="Calibri" w:eastAsia="Calibri" w:hAnsi="Calibri" w:cs="Calibri"/>
          <w:color w:val="242E59"/>
          <w:sz w:val="21"/>
          <w:szCs w:val="21"/>
        </w:rPr>
        <w:t xml:space="preserve"> office.</w:t>
      </w:r>
    </w:p>
    <w:p w14:paraId="580BCFC3" w14:textId="77777777" w:rsidR="00EE70F2" w:rsidRPr="00EE70F2" w:rsidRDefault="00EE70F2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4A89730C" w14:textId="160F6C3A" w:rsidR="00EE70F2" w:rsidRPr="00EE70F2" w:rsidRDefault="00EE70F2" w:rsidP="00EE70F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bCs/>
          <w:noProof/>
          <w:color w:val="242E59"/>
          <w:sz w:val="21"/>
          <w:szCs w:val="21"/>
        </w:rPr>
        <w:drawing>
          <wp:inline distT="0" distB="0" distL="0" distR="0" wp14:anchorId="68B7B0E1" wp14:editId="1BF33121">
            <wp:extent cx="4422371" cy="2483611"/>
            <wp:effectExtent l="0" t="0" r="0" b="5715"/>
            <wp:docPr id="49026229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026229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437690" cy="2492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5614D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78421925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Tento kontrast se promítá také do požadovaného vzdělání. V Praze připadá 42 procent nabídek na pozice vyžadující maturitu, zatímco v Moravskoslezském kraji je to 20,4 procenta. Požadavek na základní vzdělání má naopak v Moravskoslezském kraji podíl 48,3 procenta, v Praze 25,3 procenta. Neznamená to přitom jednoduše, že by Praha nabízela pouze kvalifikovanější práci. Například podíl pozic se základním vzděláním se mezi Prahou a průměrem ostatních krajů téměř neliší. Hlavní rozdíl spočívá v tom, že Praha má podstatně méně nabídek určených lidem s klasickým vyučením a více pozic požadujících maturitu nebo terciární vzdělání.</w:t>
      </w:r>
    </w:p>
    <w:p w14:paraId="16E6C715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1ACB9302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b/>
          <w:bCs/>
          <w:color w:val="242E59"/>
          <w:sz w:val="21"/>
          <w:szCs w:val="21"/>
        </w:rPr>
        <w:t>Vyšší nezaměstnanost nemusí znamenat snazší nábor</w:t>
      </w:r>
    </w:p>
    <w:p w14:paraId="0ED3833B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Moravskoslezský kraj měl v srpnu 2026 podíl nezaměstnaných přibližně 7,1 procenta, přesto zde zaměstnavatelé vykazují velmi silnou poptávku po pracovnících do výroby. Podobný rozpor je patrný v Ústeckém kraji, kde nezaměstnanost dosahovala zhruba 7,3 procenta, ale zároveň výrazně rostly požadavky na kvalifikaci.</w:t>
      </w:r>
    </w:p>
    <w:p w14:paraId="2105FBE3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635E1731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Podíl nabídek požadujících maturitu se v Ústeckém kraji zvýšil z 30,9 procenta v roce 2024 na 45,7 procenta v roce 2026. Současně kleslo zastoupení základního vzdělání z 31,8 na 19,2 procenta. Vedle operátorů výroby zde zaměstnavatelé nadprůměrně hledají také chemiky, manažery logistiky, plánovače výroby nebo pracovníky v elektrotechnice.</w:t>
      </w:r>
    </w:p>
    <w:p w14:paraId="079C59FE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2BACABD0" w14:textId="4C1F13F6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 xml:space="preserve">„Vyšší nezaměstnanost sama o sobě firmám nezaručuje dostatek vhodných lidí. V jednom regionu může být současně mnoho </w:t>
      </w:r>
      <w:proofErr w:type="gramStart"/>
      <w:r w:rsidRPr="00EE70F2">
        <w:rPr>
          <w:rFonts w:ascii="Calibri" w:eastAsia="Calibri" w:hAnsi="Calibri" w:cs="Calibri"/>
          <w:color w:val="242E59"/>
          <w:sz w:val="21"/>
          <w:szCs w:val="21"/>
        </w:rPr>
        <w:t>uchazečů</w:t>
      </w:r>
      <w:proofErr w:type="gramEnd"/>
      <w:r w:rsidRPr="00EE70F2">
        <w:rPr>
          <w:rFonts w:ascii="Calibri" w:eastAsia="Calibri" w:hAnsi="Calibri" w:cs="Calibri"/>
          <w:color w:val="242E59"/>
          <w:sz w:val="21"/>
          <w:szCs w:val="21"/>
        </w:rPr>
        <w:t xml:space="preserve"> a přitom nedostatek pracovníků s určitou technickou kvalifikací, praxí nebo ochotou pracovat ve směnném provozu. Právě Ústecký a Moravskoslezský kraj dobře ukazují, jak silný může být nesoulad mezi strukturou uchazečů a konkrétní poptávkou zaměstnavatelů,“ vysvětluje Michal Španěl z JenPráce.cz</w:t>
      </w:r>
      <w:r w:rsidR="00EE70F2">
        <w:rPr>
          <w:rFonts w:ascii="Calibri" w:eastAsia="Calibri" w:hAnsi="Calibri" w:cs="Calibri"/>
          <w:color w:val="242E59"/>
          <w:sz w:val="21"/>
          <w:szCs w:val="21"/>
        </w:rPr>
        <w:t>.</w:t>
      </w:r>
    </w:p>
    <w:p w14:paraId="55C3BB3F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1A480B74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b/>
          <w:bCs/>
          <w:color w:val="242E59"/>
          <w:sz w:val="21"/>
          <w:szCs w:val="21"/>
        </w:rPr>
        <w:t>Střední Čechy patří logistice, Vysočina strojírenství</w:t>
      </w:r>
    </w:p>
    <w:p w14:paraId="58EC2027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Jednotlivé regiony se odlišují i uvnitř obecně průmyslové části republiky. Středočeský kraj funguje především jako výrobní a distribuční zázemí Prahy. Doprava, logistika a zásobování zde představují 11,8 procenta oborové struktury oproti celorepublikovým 8,1 procenta. Skladníci tvoří 4,3 procenta profesní struktury, což je nejvíce ze všech krajů. Nadprůměrně zastoupeni jsou rovněž logističtí specialisté, dispečeři a pracovníci expedice.</w:t>
      </w:r>
    </w:p>
    <w:p w14:paraId="256375D6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759A6F27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Vysočina má naproti tomu nejsilnější strojírenský profil. Strojírenství a automobilový průmysl zde tvoří 20,2 procenta nabídky, tedy nejvyšší podíl mezi kraji. Region vede například v zastoupení procesních inženýrů, frézařů a strojírenských technologů. Mezi lety 2024 a 2026 se zde zároveň více než zdvojnásobil podíl požadavků na vysokoškolské vzdělání a rostlo zastoupení maturitních pozic.</w:t>
      </w:r>
    </w:p>
    <w:p w14:paraId="3689854E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40A71617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Výrazný posun ke kvalifikovanější průmyslové práci je patrný rovněž v Plzeňském kraji. Podíl požadavků na maturitu se zde během dvou let zvýšil z 27,4 na 38 procent, zatímco podíl základního vzdělání klesl z 35,9 na 23,5 procenta. Vedle operátorů a seřizovačů jsou v regionu silně zastoupeni inženýři a specialisté kvality, výrobní technologové nebo procesní inženýři.</w:t>
      </w:r>
    </w:p>
    <w:p w14:paraId="2776CF21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650751FC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Olomoucký kraj zase zaznamenal jeden z nejrychlejších posunů ke strojírenství. Jeho podíl vzrostl z 13,7 procenta v roce 2024 na 18 procent v roce 2026. V Pardubickém kraji se propojuje strojírenství, chemický průmysl a elektrotechnika, zatímco Zlínský kraj si zachovává mimořádnou koncentraci tradičních řemesel. Nadprůměrně jsou zde zastoupeni například kováři, tesaři, soustružníci, zedníci, elektrikáři a elektrotechnici.</w:t>
      </w:r>
    </w:p>
    <w:p w14:paraId="3896200D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64E12462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b/>
          <w:bCs/>
          <w:color w:val="242E59"/>
          <w:sz w:val="21"/>
          <w:szCs w:val="21"/>
        </w:rPr>
        <w:t>Karlovarský kraj je regionální výjimkou</w:t>
      </w:r>
    </w:p>
    <w:p w14:paraId="2C3DBCC3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Odlišnou strukturu má Karlovarský kraj. Zdravotnictví, farmacie a sociální služby zde představují 10,5 procenta oborové nabídky, téměř čtyřikrát více než v celé republice. Obchod dosahuje 17,9 procenta a potravinářství 6,4 procenta, v obou případech jde o nejvyšší podíl mezi kraji. Výrazně nadprůměrné je také ubytování, cestovní ruch a gastronomie.</w:t>
      </w:r>
    </w:p>
    <w:p w14:paraId="4407B078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577F53AA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 xml:space="preserve">Zdravotní sestry tvoří v Karlovarském kraji 5,1 procenta profesní struktury oproti celorepublikovým 0,8 procenta. Velmi vysoké je také relativní zastoupení lékařů a fyzioterapeutů. Strojírenství a </w:t>
      </w:r>
      <w:proofErr w:type="spellStart"/>
      <w:r w:rsidRPr="00EE70F2">
        <w:rPr>
          <w:rFonts w:ascii="Calibri" w:eastAsia="Calibri" w:hAnsi="Calibri" w:cs="Calibri"/>
          <w:color w:val="242E59"/>
          <w:sz w:val="21"/>
          <w:szCs w:val="21"/>
        </w:rPr>
        <w:t>automotive</w:t>
      </w:r>
      <w:proofErr w:type="spellEnd"/>
      <w:r w:rsidRPr="00EE70F2">
        <w:rPr>
          <w:rFonts w:ascii="Calibri" w:eastAsia="Calibri" w:hAnsi="Calibri" w:cs="Calibri"/>
          <w:color w:val="242E59"/>
          <w:sz w:val="21"/>
          <w:szCs w:val="21"/>
        </w:rPr>
        <w:t xml:space="preserve"> naproti tomu představují jen 4,7 procenta, nejméně ze všech krajů. Regionální nabídka tak odráží propojení lázeňství, zdravotnictví, turismu, obchodu a navazujících služeb.</w:t>
      </w:r>
    </w:p>
    <w:p w14:paraId="7004C3B3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4AB97DE5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Zdravotnictví přitom posiluje i v některých tradičně průmyslových krajích. Na Vysočině jeho podíl vzrostl mezi roky 2024 a 2026 z 1,4 na 4,7 procenta a v Libereckém kraji ze dvou na 4,6 procenta. Stárnutí populace a rostoucí personální potřeby zdravotních a sociálních služeb tak postupně mění náborovou strukturu i mimo velká města.</w:t>
      </w:r>
    </w:p>
    <w:p w14:paraId="5614F0DF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491F8B90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bCs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b/>
          <w:bCs/>
          <w:color w:val="242E59"/>
          <w:sz w:val="21"/>
          <w:szCs w:val="21"/>
        </w:rPr>
        <w:t>Jiná práce znamená také jiné benefity</w:t>
      </w:r>
    </w:p>
    <w:p w14:paraId="5A39F731" w14:textId="77777777" w:rsidR="004679E7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 xml:space="preserve">Regionální charakter pracovních míst ovlivňuje také nabídku benefitů. V Praze zaměstnavatelé častěji nabízejí pružnou pracovní dobu, </w:t>
      </w:r>
      <w:proofErr w:type="spellStart"/>
      <w:r w:rsidRPr="00EE70F2">
        <w:rPr>
          <w:rFonts w:ascii="Calibri" w:eastAsia="Calibri" w:hAnsi="Calibri" w:cs="Calibri"/>
          <w:color w:val="242E59"/>
          <w:sz w:val="21"/>
          <w:szCs w:val="21"/>
        </w:rPr>
        <w:t>home</w:t>
      </w:r>
      <w:proofErr w:type="spellEnd"/>
      <w:r w:rsidRPr="00EE70F2">
        <w:rPr>
          <w:rFonts w:ascii="Calibri" w:eastAsia="Calibri" w:hAnsi="Calibri" w:cs="Calibri"/>
          <w:color w:val="242E59"/>
          <w:sz w:val="21"/>
          <w:szCs w:val="21"/>
        </w:rPr>
        <w:t xml:space="preserve"> office, vzdělávací kurzy, příspěvky na sport nebo občerstvení na pracovišti. </w:t>
      </w:r>
      <w:proofErr w:type="spellStart"/>
      <w:r w:rsidRPr="00EE70F2">
        <w:rPr>
          <w:rFonts w:ascii="Calibri" w:eastAsia="Calibri" w:hAnsi="Calibri" w:cs="Calibri"/>
          <w:color w:val="242E59"/>
          <w:sz w:val="21"/>
          <w:szCs w:val="21"/>
        </w:rPr>
        <w:t>Home</w:t>
      </w:r>
      <w:proofErr w:type="spellEnd"/>
      <w:r w:rsidRPr="00EE70F2">
        <w:rPr>
          <w:rFonts w:ascii="Calibri" w:eastAsia="Calibri" w:hAnsi="Calibri" w:cs="Calibri"/>
          <w:color w:val="242E59"/>
          <w:sz w:val="21"/>
          <w:szCs w:val="21"/>
        </w:rPr>
        <w:t xml:space="preserve"> office má v pražské benefitní skladbě téměř dvojnásobné zastoupení než v průměru ostatních krajů.</w:t>
      </w:r>
    </w:p>
    <w:p w14:paraId="41D4BEE6" w14:textId="77777777" w:rsidR="00EE70F2" w:rsidRPr="00EE70F2" w:rsidRDefault="00EE70F2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7CCCF182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 xml:space="preserve">Mimo hlavní město jsou důležitější benefity spojené s každodenním provozem a dojížděním. Častěji se objevují příspěvky na dopravu a stravování, parkování, závodní stravování, finanční </w:t>
      </w:r>
      <w:r w:rsidRPr="00EE70F2">
        <w:rPr>
          <w:rFonts w:ascii="Calibri" w:eastAsia="Calibri" w:hAnsi="Calibri" w:cs="Calibri"/>
          <w:color w:val="242E59"/>
          <w:sz w:val="21"/>
          <w:szCs w:val="21"/>
        </w:rPr>
        <w:lastRenderedPageBreak/>
        <w:t>prémie nebo třináctý a čtrnáctý plat. V Jihočeském kraji a na Vysočině je nadprůměrně zastoupen také příspěvek na ubytování, který firmám umožňuje rozšířit nábor za hranice bezprostředního okolí.</w:t>
      </w:r>
    </w:p>
    <w:p w14:paraId="741C5EB9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0C3D1380" w14:textId="5D59F8D8" w:rsidR="008F5633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  <w:r w:rsidRPr="00EE70F2">
        <w:rPr>
          <w:rFonts w:ascii="Calibri" w:eastAsia="Calibri" w:hAnsi="Calibri" w:cs="Calibri"/>
          <w:color w:val="242E59"/>
          <w:sz w:val="21"/>
          <w:szCs w:val="21"/>
        </w:rPr>
        <w:t>„Benefity kopírují realitu konkrétní práce. U kancelářských pozic může zaměstnavatel nabídnout flexibilitu nebo práci z domova, výrobní podnik ale potřebuje člověka na určitém pracovišti a často také v konkrétní směně. V regionech proto mají větší váhu příspěvky na dopravu, stravování, ubytování nebo finanční prémie. Univerzální balíček výhod dnes nemusí fungovat ani napříč profesemi, ani napříč republikou,“ uzavírá Michal Španěl z JenPráce.cz.</w:t>
      </w:r>
    </w:p>
    <w:p w14:paraId="3ED9359F" w14:textId="77777777" w:rsidR="004679E7" w:rsidRPr="00EE70F2" w:rsidRDefault="004679E7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21"/>
          <w:szCs w:val="21"/>
        </w:rPr>
      </w:pPr>
    </w:p>
    <w:p w14:paraId="26F8F0D4" w14:textId="7124CEB7" w:rsidR="004679E7" w:rsidRPr="00E16CB1" w:rsidRDefault="00EE70F2" w:rsidP="004679E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Cs/>
          <w:color w:val="242E59"/>
          <w:sz w:val="22"/>
          <w:szCs w:val="22"/>
        </w:rPr>
      </w:pPr>
      <w:r w:rsidRPr="00EE70F2">
        <w:rPr>
          <w:rFonts w:ascii="Calibri" w:eastAsia="Calibri" w:hAnsi="Calibri" w:cs="Calibri"/>
          <w:bCs/>
          <w:noProof/>
          <w:color w:val="242E59"/>
          <w:sz w:val="22"/>
          <w:szCs w:val="22"/>
        </w:rPr>
        <w:drawing>
          <wp:inline distT="0" distB="0" distL="0" distR="0" wp14:anchorId="2C1B47C8" wp14:editId="3B4DD206">
            <wp:extent cx="5169535" cy="2900045"/>
            <wp:effectExtent l="0" t="0" r="0" b="0"/>
            <wp:docPr id="105652120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652120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9535" cy="2900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09D34" w14:textId="2B82358F" w:rsidR="00DB66DF" w:rsidRDefault="00DB66DF" w:rsidP="00DB66D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Cs/>
          <w:color w:val="242E59"/>
          <w:sz w:val="22"/>
          <w:szCs w:val="22"/>
        </w:rPr>
      </w:pPr>
    </w:p>
    <w:p w14:paraId="60D65274" w14:textId="5A0D54D5" w:rsidR="00EE70F2" w:rsidRPr="00DB66DF" w:rsidRDefault="00EE70F2" w:rsidP="00DB66DF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Cs/>
          <w:color w:val="242E59"/>
          <w:sz w:val="22"/>
          <w:szCs w:val="22"/>
        </w:rPr>
      </w:pPr>
    </w:p>
    <w:p w14:paraId="141F48FB" w14:textId="77777777" w:rsidR="00DB66DF" w:rsidRDefault="00DB66DF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1C418E"/>
          <w:sz w:val="36"/>
          <w:szCs w:val="36"/>
        </w:rPr>
      </w:pPr>
    </w:p>
    <w:p w14:paraId="31FEF180" w14:textId="7D893766" w:rsidR="00B70950" w:rsidRPr="00DB66D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16"/>
          <w:szCs w:val="16"/>
        </w:rPr>
      </w:pPr>
      <w:r w:rsidRPr="00DB66DF">
        <w:rPr>
          <w:rFonts w:ascii="Arial" w:eastAsia="Arial" w:hAnsi="Arial" w:cs="Arial"/>
          <w:b/>
          <w:color w:val="1C418E"/>
          <w:sz w:val="16"/>
          <w:szCs w:val="16"/>
        </w:rPr>
        <w:t>O portálu JenPráce.cz</w:t>
      </w:r>
    </w:p>
    <w:p w14:paraId="1C839245" w14:textId="77777777" w:rsidR="00B70950" w:rsidRPr="00DB66DF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16"/>
          <w:szCs w:val="16"/>
        </w:rPr>
      </w:pPr>
    </w:p>
    <w:p w14:paraId="7E8F2194" w14:textId="5F5FB732" w:rsidR="00B70950" w:rsidRPr="00DB66DF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6"/>
          <w:szCs w:val="16"/>
        </w:rPr>
      </w:pPr>
      <w:r w:rsidRPr="00DB66DF">
        <w:rPr>
          <w:rFonts w:ascii="Calibri" w:eastAsia="Calibri" w:hAnsi="Calibri" w:cs="Calibri"/>
          <w:color w:val="242E59"/>
          <w:sz w:val="16"/>
          <w:szCs w:val="16"/>
        </w:rPr>
        <w:t xml:space="preserve">Pracovní portál Jenráce.cz patří mezi největší pracovní portály v České republice a funguje od roku 2013. Stojí za ním společnost </w:t>
      </w:r>
      <w:proofErr w:type="spellStart"/>
      <w:r w:rsidRPr="00DB66DF">
        <w:rPr>
          <w:rFonts w:ascii="Calibri" w:eastAsia="Calibri" w:hAnsi="Calibri" w:cs="Calibri"/>
          <w:color w:val="242E59"/>
          <w:sz w:val="16"/>
          <w:szCs w:val="16"/>
        </w:rPr>
        <w:t>Coweo</w:t>
      </w:r>
      <w:proofErr w:type="spellEnd"/>
      <w:r w:rsidRPr="00DB66DF">
        <w:rPr>
          <w:rFonts w:ascii="Calibri" w:eastAsia="Calibri" w:hAnsi="Calibri" w:cs="Calibri"/>
          <w:color w:val="242E59"/>
          <w:sz w:val="16"/>
          <w:szCs w:val="16"/>
        </w:rPr>
        <w:t xml:space="preserve"> Technologies a investiční skupina Pale </w:t>
      </w:r>
      <w:proofErr w:type="spellStart"/>
      <w:r w:rsidRPr="00DB66DF">
        <w:rPr>
          <w:rFonts w:ascii="Calibri" w:eastAsia="Calibri" w:hAnsi="Calibri" w:cs="Calibri"/>
          <w:color w:val="242E59"/>
          <w:sz w:val="16"/>
          <w:szCs w:val="16"/>
        </w:rPr>
        <w:t>Fire</w:t>
      </w:r>
      <w:proofErr w:type="spellEnd"/>
      <w:r w:rsidRPr="00DB66DF">
        <w:rPr>
          <w:rFonts w:ascii="Calibri" w:eastAsia="Calibri" w:hAnsi="Calibri" w:cs="Calibri"/>
          <w:color w:val="242E59"/>
          <w:sz w:val="16"/>
          <w:szCs w:val="16"/>
        </w:rPr>
        <w:t xml:space="preserve"> </w:t>
      </w:r>
      <w:proofErr w:type="spellStart"/>
      <w:r w:rsidRPr="00DB66DF">
        <w:rPr>
          <w:rFonts w:ascii="Calibri" w:eastAsia="Calibri" w:hAnsi="Calibri" w:cs="Calibri"/>
          <w:color w:val="242E59"/>
          <w:sz w:val="16"/>
          <w:szCs w:val="16"/>
        </w:rPr>
        <w:t>Capital</w:t>
      </w:r>
      <w:proofErr w:type="spellEnd"/>
      <w:r w:rsidRPr="00DB66DF">
        <w:rPr>
          <w:rFonts w:ascii="Calibri" w:eastAsia="Calibri" w:hAnsi="Calibri" w:cs="Calibri"/>
          <w:color w:val="242E59"/>
          <w:sz w:val="16"/>
          <w:szCs w:val="16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540813AA" w14:textId="77777777" w:rsidR="00B70950" w:rsidRPr="00DB66DF" w:rsidRDefault="00B7095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14:paraId="54E745FC" w14:textId="77777777" w:rsidR="00B70950" w:rsidRPr="00DB66DF" w:rsidRDefault="0000000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6"/>
          <w:szCs w:val="16"/>
        </w:rPr>
      </w:pPr>
      <w:r w:rsidRPr="00DB66DF">
        <w:rPr>
          <w:rFonts w:ascii="Calibri" w:eastAsia="Calibri" w:hAnsi="Calibri" w:cs="Calibri"/>
          <w:color w:val="242E59"/>
          <w:sz w:val="16"/>
          <w:szCs w:val="16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4774BD99" w14:textId="77777777" w:rsidR="00B70950" w:rsidRPr="00DB66DF" w:rsidRDefault="00B709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242E59"/>
          <w:sz w:val="16"/>
          <w:szCs w:val="16"/>
        </w:rPr>
      </w:pPr>
    </w:p>
    <w:p w14:paraId="649A6362" w14:textId="77777777" w:rsidR="00B70950" w:rsidRPr="00DB66D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  <w:r w:rsidRPr="00DB66DF">
        <w:rPr>
          <w:noProof/>
          <w:sz w:val="16"/>
          <w:szCs w:val="16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5927360E" wp14:editId="5051AEF8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ovací šip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13020" cy="176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11E38769" w14:textId="77777777" w:rsidR="00B70950" w:rsidRPr="00DB66DF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</w:p>
    <w:p w14:paraId="60CE94B2" w14:textId="77777777" w:rsidR="00B70950" w:rsidRPr="00DB66D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Liberation Serif" w:eastAsia="Liberation Serif" w:hAnsi="Liberation Serif" w:cs="Liberation Serif"/>
          <w:color w:val="000000"/>
          <w:sz w:val="16"/>
          <w:szCs w:val="16"/>
        </w:rPr>
      </w:pPr>
      <w:r w:rsidRPr="00DB66DF">
        <w:rPr>
          <w:rFonts w:ascii="Arial" w:eastAsia="Arial" w:hAnsi="Arial" w:cs="Arial"/>
          <w:b/>
          <w:color w:val="1C418E"/>
          <w:sz w:val="16"/>
          <w:szCs w:val="16"/>
        </w:rPr>
        <w:t>Kontakt pro média</w:t>
      </w:r>
    </w:p>
    <w:p w14:paraId="702B4A6D" w14:textId="77777777" w:rsidR="00B70950" w:rsidRPr="00DB66DF" w:rsidRDefault="00B7095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</w:p>
    <w:p w14:paraId="47D328AA" w14:textId="3F3D0462" w:rsidR="00B70950" w:rsidRPr="00DB66DF" w:rsidRDefault="00637D21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  <w:sz w:val="16"/>
          <w:szCs w:val="16"/>
        </w:rPr>
      </w:pPr>
      <w:r w:rsidRPr="00DB66DF">
        <w:rPr>
          <w:rFonts w:ascii="Calibri" w:eastAsia="Calibri" w:hAnsi="Calibri" w:cs="Calibri"/>
          <w:b/>
          <w:color w:val="242E59"/>
          <w:sz w:val="16"/>
          <w:szCs w:val="16"/>
        </w:rPr>
        <w:t>Petr Jarkovský a Michal Hoblík – ASPEN.PR</w:t>
      </w:r>
    </w:p>
    <w:p w14:paraId="7BBC4887" w14:textId="51E35529" w:rsidR="00637D21" w:rsidRPr="00DB66DF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16"/>
          <w:szCs w:val="16"/>
        </w:rPr>
      </w:pPr>
      <w:r w:rsidRPr="00DB66DF">
        <w:rPr>
          <w:rFonts w:ascii="Calibri" w:eastAsia="Calibri" w:hAnsi="Calibri" w:cs="Calibri"/>
          <w:color w:val="242E59"/>
          <w:sz w:val="16"/>
          <w:szCs w:val="16"/>
        </w:rPr>
        <w:t>e-mail</w:t>
      </w:r>
      <w:r w:rsidR="00637D21" w:rsidRPr="00DB66DF">
        <w:rPr>
          <w:rFonts w:ascii="Calibri" w:eastAsia="Calibri" w:hAnsi="Calibri" w:cs="Calibri"/>
          <w:color w:val="242E59"/>
          <w:sz w:val="16"/>
          <w:szCs w:val="16"/>
        </w:rPr>
        <w:t xml:space="preserve">y: </w:t>
      </w:r>
      <w:hyperlink r:id="rId10" w:history="1">
        <w:r w:rsidR="00637D21" w:rsidRPr="00DB66DF">
          <w:rPr>
            <w:rStyle w:val="Hypertextovodkaz"/>
            <w:rFonts w:ascii="Calibri" w:eastAsia="Calibri" w:hAnsi="Calibri" w:cs="Calibri"/>
            <w:sz w:val="16"/>
            <w:szCs w:val="16"/>
          </w:rPr>
          <w:t>petr.jarkovsky@aspen.pr</w:t>
        </w:r>
      </w:hyperlink>
      <w:r w:rsidR="00637D21" w:rsidRPr="00DB66DF">
        <w:rPr>
          <w:rFonts w:ascii="Calibri" w:eastAsia="Calibri" w:hAnsi="Calibri" w:cs="Calibri"/>
          <w:color w:val="242E59"/>
          <w:sz w:val="16"/>
          <w:szCs w:val="16"/>
        </w:rPr>
        <w:t xml:space="preserve"> / </w:t>
      </w:r>
      <w:hyperlink r:id="rId11" w:history="1">
        <w:r w:rsidR="00637D21" w:rsidRPr="00DB66DF">
          <w:rPr>
            <w:rStyle w:val="Hypertextovodkaz"/>
            <w:rFonts w:ascii="Calibri" w:eastAsia="Calibri" w:hAnsi="Calibri" w:cs="Calibri"/>
            <w:sz w:val="16"/>
            <w:szCs w:val="16"/>
          </w:rPr>
          <w:t>michal.hoblik@aspen.pr</w:t>
        </w:r>
      </w:hyperlink>
    </w:p>
    <w:p w14:paraId="4A4407CA" w14:textId="2900F0E5" w:rsidR="00B70950" w:rsidRPr="00637D21" w:rsidRDefault="00000000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242E59"/>
          <w:sz w:val="22"/>
          <w:szCs w:val="22"/>
        </w:rPr>
      </w:pPr>
      <w:r w:rsidRPr="00DB66DF">
        <w:rPr>
          <w:rFonts w:ascii="Calibri" w:eastAsia="Calibri" w:hAnsi="Calibri" w:cs="Calibri"/>
          <w:color w:val="242E59"/>
          <w:sz w:val="16"/>
          <w:szCs w:val="16"/>
        </w:rPr>
        <w:t>tel.: +420 77</w:t>
      </w:r>
      <w:r w:rsidR="00637D21" w:rsidRPr="00DB66DF">
        <w:rPr>
          <w:rFonts w:ascii="Calibri" w:eastAsia="Calibri" w:hAnsi="Calibri" w:cs="Calibri"/>
          <w:color w:val="242E59"/>
          <w:sz w:val="16"/>
          <w:szCs w:val="16"/>
        </w:rPr>
        <w:t>4 225 153 / +420 774 225 155</w:t>
      </w:r>
    </w:p>
    <w:sectPr w:rsidR="00B70950" w:rsidRPr="00637D21" w:rsidSect="00637D21">
      <w:headerReference w:type="default" r:id="rId12"/>
      <w:footerReference w:type="default" r:id="rId13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3521EE6" w14:textId="77777777" w:rsidR="003A7249" w:rsidRDefault="003A7249">
      <w:r>
        <w:separator/>
      </w:r>
    </w:p>
  </w:endnote>
  <w:endnote w:type="continuationSeparator" w:id="0">
    <w:p w14:paraId="4C570D5E" w14:textId="77777777" w:rsidR="003A7249" w:rsidRDefault="003A72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811DB7" w14:textId="3BDFFF99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FC0D4F">
      <w:rPr>
        <w:rFonts w:ascii="Arial" w:eastAsia="Arial" w:hAnsi="Arial" w:cs="Arial"/>
        <w:color w:val="1D4090"/>
        <w:sz w:val="18"/>
        <w:szCs w:val="18"/>
      </w:rPr>
      <w:t>22.</w:t>
    </w:r>
    <w:r w:rsidR="00637D21">
      <w:rPr>
        <w:rFonts w:ascii="Arial" w:eastAsia="Arial" w:hAnsi="Arial" w:cs="Arial"/>
        <w:color w:val="1D4090"/>
        <w:sz w:val="18"/>
        <w:szCs w:val="18"/>
      </w:rPr>
      <w:t xml:space="preserve"> </w:t>
    </w:r>
    <w:r w:rsidR="00FC0D4F">
      <w:rPr>
        <w:rFonts w:ascii="Arial" w:eastAsia="Arial" w:hAnsi="Arial" w:cs="Arial"/>
        <w:color w:val="1D4090"/>
        <w:sz w:val="18"/>
        <w:szCs w:val="18"/>
      </w:rPr>
      <w:t>9</w:t>
    </w:r>
    <w:r>
      <w:rPr>
        <w:rFonts w:ascii="Arial" w:eastAsia="Arial" w:hAnsi="Arial" w:cs="Arial"/>
        <w:color w:val="1D4090"/>
        <w:sz w:val="18"/>
        <w:szCs w:val="18"/>
      </w:rPr>
      <w:t>. 202</w:t>
    </w:r>
    <w:r w:rsidR="00FC0D4F">
      <w:rPr>
        <w:rFonts w:ascii="Arial" w:eastAsia="Arial" w:hAnsi="Arial" w:cs="Arial"/>
        <w:color w:val="1D4090"/>
        <w:sz w:val="18"/>
        <w:szCs w:val="18"/>
      </w:rPr>
      <w:t>6</w:t>
    </w:r>
    <w:r>
      <w:rPr>
        <w:rFonts w:ascii="Arial" w:eastAsia="Arial" w:hAnsi="Arial" w:cs="Arial"/>
        <w:color w:val="1D4090"/>
        <w:sz w:val="18"/>
        <w:szCs w:val="18"/>
      </w:rPr>
      <w:t xml:space="preserve">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9762ECF" w14:textId="77777777" w:rsidR="003A7249" w:rsidRDefault="003A7249">
      <w:r>
        <w:separator/>
      </w:r>
    </w:p>
  </w:footnote>
  <w:footnote w:type="continuationSeparator" w:id="0">
    <w:p w14:paraId="1BA20046" w14:textId="77777777" w:rsidR="003A7249" w:rsidRDefault="003A72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CF1E83" w14:textId="77777777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ZPRÁVA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4DCCCBF" wp14:editId="55A7B3CC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1DA96F0E" wp14:editId="08162CAE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8AA60FC"/>
    <w:multiLevelType w:val="hybridMultilevel"/>
    <w:tmpl w:val="1E5631AC"/>
    <w:lvl w:ilvl="0" w:tplc="64207B34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4C1FEC"/>
    <w:multiLevelType w:val="hybridMultilevel"/>
    <w:tmpl w:val="CCBCEB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4A5E5A"/>
    <w:multiLevelType w:val="hybridMultilevel"/>
    <w:tmpl w:val="DB223D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695811">
    <w:abstractNumId w:val="2"/>
  </w:num>
  <w:num w:numId="2" w16cid:durableId="108747936">
    <w:abstractNumId w:val="0"/>
  </w:num>
  <w:num w:numId="3" w16cid:durableId="2127843385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0"/>
    <w:rsid w:val="000801D6"/>
    <w:rsid w:val="001724A7"/>
    <w:rsid w:val="00176CC9"/>
    <w:rsid w:val="001E4AB8"/>
    <w:rsid w:val="001F2F3D"/>
    <w:rsid w:val="001F5EE6"/>
    <w:rsid w:val="00353371"/>
    <w:rsid w:val="003859AE"/>
    <w:rsid w:val="003A7249"/>
    <w:rsid w:val="003C7E37"/>
    <w:rsid w:val="0042509F"/>
    <w:rsid w:val="004679E7"/>
    <w:rsid w:val="004F32A6"/>
    <w:rsid w:val="0053251F"/>
    <w:rsid w:val="0057572F"/>
    <w:rsid w:val="00637D21"/>
    <w:rsid w:val="006644B7"/>
    <w:rsid w:val="00704DC0"/>
    <w:rsid w:val="00762879"/>
    <w:rsid w:val="007B0C72"/>
    <w:rsid w:val="007F4A44"/>
    <w:rsid w:val="008116FE"/>
    <w:rsid w:val="00811F9D"/>
    <w:rsid w:val="00823B24"/>
    <w:rsid w:val="00843067"/>
    <w:rsid w:val="00881A54"/>
    <w:rsid w:val="008A1EE2"/>
    <w:rsid w:val="008F5633"/>
    <w:rsid w:val="009D11D6"/>
    <w:rsid w:val="00A02B78"/>
    <w:rsid w:val="00A65132"/>
    <w:rsid w:val="00AE079C"/>
    <w:rsid w:val="00B32FAC"/>
    <w:rsid w:val="00B55941"/>
    <w:rsid w:val="00B63ACC"/>
    <w:rsid w:val="00B70950"/>
    <w:rsid w:val="00C010BB"/>
    <w:rsid w:val="00C34A28"/>
    <w:rsid w:val="00C45590"/>
    <w:rsid w:val="00CC46CD"/>
    <w:rsid w:val="00CF0768"/>
    <w:rsid w:val="00CF0D35"/>
    <w:rsid w:val="00D159C3"/>
    <w:rsid w:val="00D2759E"/>
    <w:rsid w:val="00D33D36"/>
    <w:rsid w:val="00D6798E"/>
    <w:rsid w:val="00DA1252"/>
    <w:rsid w:val="00DB66DF"/>
    <w:rsid w:val="00DD56B9"/>
    <w:rsid w:val="00E0765A"/>
    <w:rsid w:val="00E16CB1"/>
    <w:rsid w:val="00EE70F2"/>
    <w:rsid w:val="00FC0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7CD"/>
  <w15:docId w15:val="{22B8E495-2DD7-EB45-AC76-A43F1B14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B66DF"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basedOn w:val="Normln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  <w:style w:type="paragraph" w:styleId="Odstavecseseznamem">
    <w:name w:val="List Paragraph"/>
    <w:basedOn w:val="Normln"/>
    <w:uiPriority w:val="34"/>
    <w:qFormat/>
    <w:rsid w:val="001724A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1724A7"/>
    <w:rPr>
      <w:b/>
      <w:bCs/>
    </w:rPr>
  </w:style>
  <w:style w:type="paragraph" w:styleId="Revize">
    <w:name w:val="Revision"/>
    <w:hidden/>
    <w:uiPriority w:val="99"/>
    <w:semiHidden/>
    <w:rsid w:val="0057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ichal.hoblik@aspen.p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petr.jarkovsky@aspen.pr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1379</Words>
  <Characters>8649</Characters>
  <Application>Microsoft Office Word</Application>
  <DocSecurity>0</DocSecurity>
  <Lines>166</Lines>
  <Paragraphs>45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Petr Jarkovský</dc:creator>
  <cp:lastModifiedBy>Michal Hoblík</cp:lastModifiedBy>
  <cp:revision>4</cp:revision>
  <cp:lastPrinted>2025-04-30T08:20:00Z</cp:lastPrinted>
  <dcterms:created xsi:type="dcterms:W3CDTF">2026-09-22T05:28:00Z</dcterms:created>
  <dcterms:modified xsi:type="dcterms:W3CDTF">2026-09-22T05:39:00Z</dcterms:modified>
</cp:coreProperties>
</file>