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464A" w14:textId="37E6E4EA" w:rsidR="002A40F4" w:rsidRPr="00BD56DB" w:rsidRDefault="002A40F4" w:rsidP="00BD56DB">
      <w:pPr>
        <w:pStyle w:val="Nadpis1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BD56DB">
        <w:rPr>
          <w:rFonts w:ascii="Arial" w:hAnsi="Arial" w:cs="Arial"/>
          <w:b/>
          <w:bCs/>
          <w:color w:val="000000" w:themeColor="text1"/>
          <w:sz w:val="28"/>
          <w:szCs w:val="28"/>
        </w:rPr>
        <w:t>Nepřeplácíte za elektřinu jen ze zvyku?</w:t>
      </w:r>
      <w:r w:rsidR="00BD56DB" w:rsidRPr="00BD56D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BD56DB" w:rsidRPr="00BD56DB">
        <w:rPr>
          <w:rFonts w:ascii="Arial" w:hAnsi="Arial" w:cs="Arial"/>
          <w:b/>
          <w:bCs/>
          <w:color w:val="000000" w:themeColor="text1"/>
          <w:sz w:val="28"/>
          <w:szCs w:val="28"/>
        </w:rPr>
        <w:br/>
        <w:t>3 nenápadní žrouti elektřiny</w:t>
      </w:r>
    </w:p>
    <w:p w14:paraId="21C25FD9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38E3CEF1" w14:textId="7C1B5228" w:rsidR="002A40F4" w:rsidRPr="00BD56DB" w:rsidRDefault="002A40F4" w:rsidP="002A40F4">
      <w:pPr>
        <w:rPr>
          <w:rFonts w:ascii="Arial" w:hAnsi="Arial" w:cs="Arial"/>
          <w:b/>
          <w:bCs/>
          <w:color w:val="000000" w:themeColor="text1"/>
        </w:rPr>
      </w:pPr>
      <w:r w:rsidRPr="00BD56DB">
        <w:rPr>
          <w:rFonts w:ascii="Arial" w:hAnsi="Arial" w:cs="Arial"/>
          <w:b/>
          <w:bCs/>
          <w:color w:val="000000" w:themeColor="text1"/>
        </w:rPr>
        <w:t xml:space="preserve">Praha, 21. října </w:t>
      </w:r>
      <w:proofErr w:type="gramStart"/>
      <w:r w:rsidRPr="00BD56DB">
        <w:rPr>
          <w:rFonts w:ascii="Arial" w:hAnsi="Arial" w:cs="Arial"/>
          <w:b/>
          <w:bCs/>
          <w:color w:val="000000" w:themeColor="text1"/>
        </w:rPr>
        <w:t xml:space="preserve">2026 </w:t>
      </w:r>
      <w:r w:rsidR="00BD56DB" w:rsidRPr="00BD56DB">
        <w:rPr>
          <w:rFonts w:ascii="Arial" w:hAnsi="Arial" w:cs="Arial"/>
          <w:b/>
          <w:bCs/>
          <w:color w:val="000000" w:themeColor="text1"/>
        </w:rPr>
        <w:t xml:space="preserve">- </w:t>
      </w:r>
      <w:r w:rsidRPr="00BD56DB">
        <w:rPr>
          <w:rFonts w:ascii="Arial" w:hAnsi="Arial" w:cs="Arial"/>
          <w:b/>
          <w:bCs/>
          <w:color w:val="000000" w:themeColor="text1"/>
        </w:rPr>
        <w:t>Podzim</w:t>
      </w:r>
      <w:proofErr w:type="gramEnd"/>
      <w:r w:rsidRPr="00BD56DB">
        <w:rPr>
          <w:rFonts w:ascii="Arial" w:hAnsi="Arial" w:cs="Arial"/>
          <w:b/>
          <w:bCs/>
          <w:color w:val="000000" w:themeColor="text1"/>
        </w:rPr>
        <w:t xml:space="preserve"> mění provoz domácnosti. Dříve se stmívá, venku se ochlazuje a více času trávíme doma. Vyšší spotřeba energií je proto přirozená. Řadu měsíců přitom rostou také velkoobchodní ceny elektřiny i plynu. O důvod víc zkontrolovat, zda vedle opravdu nezbytné spotřeby neplatíme také za provoz zařízení, která běží spíš ze zvyku.</w:t>
      </w:r>
    </w:p>
    <w:p w14:paraId="1686B57E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48ED5041" w14:textId="7C681B81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Změny velkoobchodních cen se do účtů běžných domácností obvykle promítají se zpožděním</w:t>
      </w:r>
      <w:r w:rsidR="00DA425F">
        <w:rPr>
          <w:rFonts w:ascii="Arial" w:hAnsi="Arial" w:cs="Arial"/>
          <w:color w:val="000000" w:themeColor="text1"/>
        </w:rPr>
        <w:t>,</w:t>
      </w:r>
      <w:r w:rsidRPr="00BD56DB">
        <w:rPr>
          <w:rFonts w:ascii="Arial" w:hAnsi="Arial" w:cs="Arial"/>
          <w:color w:val="000000" w:themeColor="text1"/>
        </w:rPr>
        <w:t xml:space="preserve"> a ne v plném rozsahu. Aktuální vývoj energetických trhů je ale dalším důvodem, proč mít domácí spotřebu pod kontrolou. Velkoobchodní cena elektřiny s dodáním v roce 2027 se k 20. říjnu dostala k 154,50 EUR/</w:t>
      </w:r>
      <w:proofErr w:type="spellStart"/>
      <w:r w:rsidRPr="00BD56DB">
        <w:rPr>
          <w:rFonts w:ascii="Arial" w:hAnsi="Arial" w:cs="Arial"/>
          <w:color w:val="000000" w:themeColor="text1"/>
        </w:rPr>
        <w:t>MWh</w:t>
      </w:r>
      <w:proofErr w:type="spellEnd"/>
      <w:r w:rsidRPr="00BD56DB">
        <w:rPr>
          <w:rFonts w:ascii="Arial" w:hAnsi="Arial" w:cs="Arial"/>
          <w:color w:val="000000" w:themeColor="text1"/>
        </w:rPr>
        <w:t xml:space="preserve"> a za poslední měsíc vzrostla téměř o 15 procent.</w:t>
      </w:r>
    </w:p>
    <w:p w14:paraId="532CB144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79D86823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Začátek topné sezony je proto vhodnou příležitostí podívat se nejen na vytápění, ale i na spotřebiče, jejichž provoz už bereme jako samozřejmost. Využívaly se přes léto, nebo je naopak s chladnějším počasím začínáme znovu zapínat. A jejich nastavení nemusí být právě optimální.</w:t>
      </w:r>
    </w:p>
    <w:p w14:paraId="7E1FF6E1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2B4F12CC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„Při hledání úspor není vždy nutné slevovat ze svého pohodlí nebo měnit vybavení domácnosti. Smysluplné je nejdřív zjistit, co a jak často používáme, a zda je současné nastavení účelné. Zvyk totiž snadno skryje nadbytečnou spotřebu,“ říká Monika Bartošová ze společnosti CENTROPOL ENERGY.</w:t>
      </w:r>
    </w:p>
    <w:p w14:paraId="1390D5BB" w14:textId="77777777" w:rsidR="002A40F4" w:rsidRPr="00BD56DB" w:rsidRDefault="002A40F4" w:rsidP="002A40F4">
      <w:pPr>
        <w:rPr>
          <w:rFonts w:ascii="Arial" w:hAnsi="Arial" w:cs="Arial"/>
          <w:b/>
          <w:bCs/>
          <w:color w:val="000000" w:themeColor="text1"/>
        </w:rPr>
      </w:pPr>
    </w:p>
    <w:p w14:paraId="3664348F" w14:textId="57A41DB9" w:rsidR="002A40F4" w:rsidRPr="00BD56DB" w:rsidRDefault="002A40F4" w:rsidP="002A40F4">
      <w:pPr>
        <w:pStyle w:val="Nadpis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D56DB">
        <w:rPr>
          <w:rFonts w:ascii="Arial" w:hAnsi="Arial" w:cs="Arial"/>
          <w:b/>
          <w:bCs/>
          <w:color w:val="000000" w:themeColor="text1"/>
          <w:sz w:val="22"/>
          <w:szCs w:val="22"/>
        </w:rPr>
        <w:t>1. Druhá lednice</w:t>
      </w:r>
      <w:r w:rsidR="00BD56DB" w:rsidRPr="00BD56DB">
        <w:rPr>
          <w:rFonts w:ascii="Arial" w:hAnsi="Arial" w:cs="Arial"/>
          <w:b/>
          <w:bCs/>
          <w:color w:val="000000" w:themeColor="text1"/>
          <w:sz w:val="22"/>
          <w:szCs w:val="22"/>
        </w:rPr>
        <w:t>. L</w:t>
      </w:r>
      <w:r w:rsidRPr="00BD56DB">
        <w:rPr>
          <w:rFonts w:ascii="Arial" w:hAnsi="Arial" w:cs="Arial"/>
          <w:b/>
          <w:bCs/>
          <w:color w:val="000000" w:themeColor="text1"/>
          <w:sz w:val="22"/>
          <w:szCs w:val="22"/>
        </w:rPr>
        <w:t>éto skončilo, ale chlazení běží dál</w:t>
      </w:r>
    </w:p>
    <w:p w14:paraId="3D4132AF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Přes léto může mít druhá lednice ve sklepě nebo v garáži napilno. Chladí nápoje, ovoce, suroviny na grilování nebo zásoby pro návštěvy. S příchodem podzimu se její využití výrazně omezí, často ale zůstává v provozu. Pokud v ní zbylo už jen pár zapomenutých lahví, musí být zapnutá celoročně?</w:t>
      </w:r>
    </w:p>
    <w:p w14:paraId="09422A29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4A581E6B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 xml:space="preserve">Spotřebu konkrétního modelu lze zjistit z energetického štítku, kde se u chladniček uvádí roční spotřeba v kilowatthodinách. Podrobnější údaje o jednotlivých modelech jsou dostupné také v evropské databázi EPREL. Případně lze skutečnou spotřebu ověřit zásuvkovým měřičem, který je vhodné nechat zapojený několik dnů, protože kompresor neběží nepřetržitě. </w:t>
      </w:r>
    </w:p>
    <w:p w14:paraId="3193B933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0B34BA90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Starší lednice, často plnící roli „té druhé“, může mít roční spotřebu 300, 400 kWh i víc. Při modelové celkové ceně 6,50 Kč za odebranou kWh včetně variabilní části regulovaných plateb a uvedené spotřebě to znamená náklady přibližně 1 950 až 2 600 korun ročně. Pokud je lednička polovinu roku téměř prázdná, může její odstavení na tuto dobu ušetřit přibližně 1 000 až 1 300 korun. U lednice, která zůstává v provozu, se vyplatí zkontrolovat stav těsnění dveří a případnou námrazu. Důležité je také umístění spotřebiče. Ne každý typ je určen do nevytápěné garáže nebo do chladného sklepa a je potřeba respektovat provozní podmínky stanovené výrobcem.</w:t>
      </w:r>
    </w:p>
    <w:p w14:paraId="00E5E269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0E2B7D2F" w14:textId="2CEB3C8D" w:rsidR="002A40F4" w:rsidRPr="00BD56DB" w:rsidRDefault="002A40F4" w:rsidP="002A40F4">
      <w:pPr>
        <w:pStyle w:val="Nadpis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D56DB">
        <w:rPr>
          <w:rFonts w:ascii="Arial" w:hAnsi="Arial" w:cs="Arial"/>
          <w:b/>
          <w:bCs/>
          <w:color w:val="000000" w:themeColor="text1"/>
          <w:sz w:val="22"/>
          <w:szCs w:val="22"/>
        </w:rPr>
        <w:t>2. Doplňkové elektrické topení</w:t>
      </w:r>
      <w:r w:rsidR="00BD56DB" w:rsidRPr="00BD56DB">
        <w:rPr>
          <w:rFonts w:ascii="Arial" w:hAnsi="Arial" w:cs="Arial"/>
          <w:b/>
          <w:bCs/>
          <w:color w:val="000000" w:themeColor="text1"/>
          <w:sz w:val="22"/>
          <w:szCs w:val="22"/>
        </w:rPr>
        <w:t>. O</w:t>
      </w:r>
      <w:r w:rsidRPr="00BD56DB">
        <w:rPr>
          <w:rFonts w:ascii="Arial" w:hAnsi="Arial" w:cs="Arial"/>
          <w:b/>
          <w:bCs/>
          <w:color w:val="000000" w:themeColor="text1"/>
          <w:sz w:val="22"/>
          <w:szCs w:val="22"/>
        </w:rPr>
        <w:t>bčasný nebo pravidelný výdaj</w:t>
      </w:r>
    </w:p>
    <w:p w14:paraId="356E3FE7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Koupelnový žebřík, přenosný přímotop nebo jiné doplňkové elektrické topení mívá své opodstatnění. Rychle prohřeje koupelnu, usuší ručníky nebo zvýší tepelný komfort v chladnější místnosti. S příchodem podzimu se ale z původně příležitostné výpomoci může nenápadně stát každodenní provoz.</w:t>
      </w:r>
    </w:p>
    <w:p w14:paraId="61965F5D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60D55E3B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Rozhodující přitom není pouze příkon zařízení, ale také to, jak dlouho skutečně pracuje. Například koupelnový žebřík o příkonu 500 wattů s denním provozem čtyř hodin na plný výkon spotřebuje za třicet dnů 60 kWh. Při modelové ceně 6,50 Kč/kWh to odpovídá 390 korunám za měsíc. U přímotopu to může být výrazně víc. Přístroj o příkonu 2 kW spotřebuje při stejných čtyřech hodinách provozu na plný výkon za třicet dnů 240 kWh. Modelové náklady při ceně 6,50 Kč/kWh tak dosahují 1 560 korun za měsíc. Skutečná spotřeba může být nižší, pokud provoz přístroje řídí termostat a zařízení neběží po celou dobu na plný výkon.</w:t>
      </w:r>
    </w:p>
    <w:p w14:paraId="748CE967" w14:textId="77777777" w:rsidR="002A40F4" w:rsidRPr="00BD56DB" w:rsidRDefault="002A40F4" w:rsidP="002A40F4">
      <w:pPr>
        <w:rPr>
          <w:rFonts w:ascii="Arial" w:eastAsia="Times New Roman" w:hAnsi="Arial" w:cs="Arial"/>
          <w:color w:val="000000" w:themeColor="text1"/>
        </w:rPr>
      </w:pPr>
    </w:p>
    <w:p w14:paraId="5CE30ACE" w14:textId="2766686D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eastAsia="Times New Roman" w:hAnsi="Arial" w:cs="Arial"/>
          <w:color w:val="000000" w:themeColor="text1"/>
        </w:rPr>
        <w:t xml:space="preserve">„Příkon spotřebiče uvedený na štítku představuje jen část informace. Pro výslednou spotřebu je zásadní, jak dlouho zařízení skutečně pracuje. U elektrického přitápění proto dobře nastavený časový program pomůže zachovat požadovaný komfort a omezí zbytečný provoz. </w:t>
      </w:r>
      <w:r w:rsidRPr="00BD56DB">
        <w:rPr>
          <w:rFonts w:ascii="Arial" w:hAnsi="Arial" w:cs="Arial"/>
          <w:color w:val="000000" w:themeColor="text1"/>
        </w:rPr>
        <w:t>Pokud se ale z krátkodobého přitápění stane každodenní nutnost, je načase zjistit, proč hlavní zdroj vytápění nestačí,“ připomíná Monika Bartošová z </w:t>
      </w:r>
      <w:r w:rsidR="00BD56DB" w:rsidRPr="00BD56DB">
        <w:rPr>
          <w:rFonts w:ascii="Arial" w:hAnsi="Arial" w:cs="Arial"/>
          <w:color w:val="000000" w:themeColor="text1"/>
        </w:rPr>
        <w:t>CENTROPOL ENERGY.</w:t>
      </w:r>
    </w:p>
    <w:p w14:paraId="0D225A61" w14:textId="77777777" w:rsidR="002A40F4" w:rsidRPr="00BD56DB" w:rsidRDefault="002A40F4" w:rsidP="002A40F4">
      <w:pPr>
        <w:rPr>
          <w:rFonts w:ascii="Arial" w:eastAsia="Times New Roman" w:hAnsi="Arial" w:cs="Arial"/>
          <w:color w:val="000000" w:themeColor="text1"/>
        </w:rPr>
      </w:pPr>
    </w:p>
    <w:p w14:paraId="79F1F109" w14:textId="4D40D45E" w:rsidR="002A40F4" w:rsidRPr="00BD56DB" w:rsidRDefault="002A40F4" w:rsidP="002A40F4">
      <w:pPr>
        <w:pStyle w:val="Nadpis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D56DB">
        <w:rPr>
          <w:rFonts w:ascii="Arial" w:hAnsi="Arial" w:cs="Arial"/>
          <w:b/>
          <w:bCs/>
          <w:color w:val="000000" w:themeColor="text1"/>
          <w:sz w:val="22"/>
          <w:szCs w:val="22"/>
        </w:rPr>
        <w:t>3. Odvlhčovač</w:t>
      </w:r>
      <w:r w:rsidR="00BD56DB" w:rsidRPr="00BD56DB">
        <w:rPr>
          <w:rFonts w:ascii="Arial" w:hAnsi="Arial" w:cs="Arial"/>
          <w:b/>
          <w:bCs/>
          <w:color w:val="000000" w:themeColor="text1"/>
          <w:sz w:val="22"/>
          <w:szCs w:val="22"/>
        </w:rPr>
        <w:t>. K</w:t>
      </w:r>
      <w:r w:rsidRPr="00BD56DB">
        <w:rPr>
          <w:rFonts w:ascii="Arial" w:hAnsi="Arial" w:cs="Arial"/>
          <w:b/>
          <w:bCs/>
          <w:color w:val="000000" w:themeColor="text1"/>
          <w:sz w:val="22"/>
          <w:szCs w:val="22"/>
        </w:rPr>
        <w:t>dyž se z pomocníka stane trvalé řešení</w:t>
      </w:r>
    </w:p>
    <w:p w14:paraId="51B8D024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S chladnějším počasím se více činností přesouvá dovnitř a například prádlo, které v létě schlo venku, končí častěji na sušáku v bytě. Odvlhčovač může pomoci se zvýšenou vlhkostí a některé modely nabízejí přímo režim pro sušení prádla. Bývá-li v provozu často i mimo dobu, kdy sušíme prádlo, stojí za pozornost nejen jeho spotřeba elektřiny, ale také příčina zvýšené vlhkosti.</w:t>
      </w:r>
    </w:p>
    <w:p w14:paraId="3A15E83E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757B7354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Pro představu lze počítat s menším přenosným domácím odvlhčovačem o příkonu 200 wattů. Při šestihodinovém provozu denně spotřebuje za měsíc přibližně 36 kWh elektřiny, což při modelové ceně 6,50 Kč/kWh představuje přijatelných zhruba 230 korun. Jestliže takto pracuje po dobu šesti měsíců, náklady dosahují přibližně 1 400 korun.</w:t>
      </w:r>
    </w:p>
    <w:p w14:paraId="1C04516F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6CB4C2CC" w14:textId="62F71C49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Pokud odvlhčovač slouží svému účelu, není samozřejmě důvod vypínat ho jen kvůli nákladům na jeho provoz. Pracuje-li ale dlouhé hodiny každý den, stojí za to zjistit, zda zvýšená vlhkost nesouvisí</w:t>
      </w:r>
      <w:r w:rsidR="00BD56DB" w:rsidRPr="00BD56DB">
        <w:rPr>
          <w:rFonts w:ascii="Arial" w:hAnsi="Arial" w:cs="Arial"/>
          <w:color w:val="000000" w:themeColor="text1"/>
        </w:rPr>
        <w:t xml:space="preserve"> </w:t>
      </w:r>
      <w:r w:rsidRPr="00BD56DB">
        <w:rPr>
          <w:rFonts w:ascii="Arial" w:hAnsi="Arial" w:cs="Arial"/>
          <w:color w:val="000000" w:themeColor="text1"/>
        </w:rPr>
        <w:t>s nedostatečným větráním, zatékáním nebo jiným problémem, který lze odstranit.</w:t>
      </w:r>
    </w:p>
    <w:p w14:paraId="6DA20424" w14:textId="7777777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58DC31AE" w14:textId="07290286" w:rsidR="002A40F4" w:rsidRPr="00BD56DB" w:rsidRDefault="002A40F4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 xml:space="preserve">„Nejde o to přestat používat spotřebiče, které nám usnadňují život. Vyplatí se ale čas od času zkontrolovat, jestli stále pracují tak, jak potřebujeme, a neběží déle nebo častěji jen ze zvyku. U druhé lednice může být řešením její sezónní odstavení, u přitápění lepší nastavení provozu a u odvlhčovače hledání příčiny zvýšené vlhkosti,“ dodává Monika Bartošová z </w:t>
      </w:r>
      <w:r w:rsidR="00BD56DB" w:rsidRPr="00BD56DB">
        <w:rPr>
          <w:rFonts w:ascii="Arial" w:hAnsi="Arial" w:cs="Arial"/>
          <w:color w:val="000000" w:themeColor="text1"/>
        </w:rPr>
        <w:t>CENTROPOL ENERGY.</w:t>
      </w:r>
    </w:p>
    <w:p w14:paraId="0BDB711A" w14:textId="77777777" w:rsidR="00BD56DB" w:rsidRPr="00BD56DB" w:rsidRDefault="00BD56DB" w:rsidP="002A40F4">
      <w:pPr>
        <w:rPr>
          <w:rFonts w:ascii="Arial" w:hAnsi="Arial" w:cs="Arial"/>
          <w:color w:val="000000" w:themeColor="text1"/>
        </w:rPr>
      </w:pPr>
    </w:p>
    <w:p w14:paraId="07AB3E78" w14:textId="5ABEC0CB" w:rsidR="00BD56DB" w:rsidRPr="00BD56DB" w:rsidRDefault="00BD56DB" w:rsidP="002A40F4">
      <w:pPr>
        <w:rPr>
          <w:rFonts w:ascii="Arial" w:hAnsi="Arial" w:cs="Arial"/>
          <w:color w:val="000000" w:themeColor="text1"/>
        </w:rPr>
      </w:pPr>
      <w:r w:rsidRPr="00BD56DB">
        <w:rPr>
          <w:rFonts w:ascii="Arial" w:hAnsi="Arial" w:cs="Arial"/>
          <w:color w:val="000000" w:themeColor="text1"/>
        </w:rPr>
        <w:t>---</w:t>
      </w:r>
    </w:p>
    <w:p w14:paraId="126AB303" w14:textId="77777777" w:rsidR="002A40F4" w:rsidRPr="00BD56DB" w:rsidRDefault="002A40F4" w:rsidP="002A40F4">
      <w:pPr>
        <w:rPr>
          <w:rFonts w:ascii="Arial" w:hAnsi="Arial" w:cs="Arial"/>
          <w:i/>
          <w:iCs/>
          <w:color w:val="000000" w:themeColor="text1"/>
        </w:rPr>
      </w:pPr>
    </w:p>
    <w:p w14:paraId="2262228E" w14:textId="77777777" w:rsidR="002A40F4" w:rsidRPr="00BD56DB" w:rsidRDefault="002A40F4" w:rsidP="002A40F4">
      <w:pPr>
        <w:rPr>
          <w:rFonts w:ascii="Arial" w:hAnsi="Arial" w:cs="Arial"/>
          <w:i/>
          <w:iCs/>
          <w:color w:val="000000" w:themeColor="text1"/>
        </w:rPr>
      </w:pPr>
      <w:r w:rsidRPr="00BD56DB">
        <w:rPr>
          <w:rFonts w:ascii="Arial" w:hAnsi="Arial" w:cs="Arial"/>
          <w:i/>
          <w:iCs/>
          <w:color w:val="000000" w:themeColor="text1"/>
        </w:rPr>
        <w:t>Modelové náklady v textu jsou počítány s cenou elektřiny 6,50 Kč za odebranou kWh včetně variabilní části regulovaných plateb. Skutečné náklady konkrétní domácnosti závisejí na její ceně elektřiny, distribuční sazbě, na velikosti hlavního jističe a na způsobu používání jednotlivých zařízení.</w:t>
      </w:r>
    </w:p>
    <w:p w14:paraId="524E92CB" w14:textId="77777777" w:rsidR="002A40F4" w:rsidRPr="00BD56DB" w:rsidRDefault="002A40F4" w:rsidP="002A40F4">
      <w:pPr>
        <w:rPr>
          <w:rFonts w:ascii="Arial" w:hAnsi="Arial" w:cs="Arial"/>
          <w:i/>
          <w:iCs/>
          <w:color w:val="000000" w:themeColor="text1"/>
        </w:rPr>
      </w:pPr>
    </w:p>
    <w:p w14:paraId="5729B1CD" w14:textId="3D780C4D" w:rsidR="00BD56DB" w:rsidRPr="00BD56DB" w:rsidRDefault="00BD56DB" w:rsidP="00BD56DB">
      <w:pPr>
        <w:rPr>
          <w:rFonts w:ascii="Arial" w:hAnsi="Arial" w:cs="Arial"/>
          <w:i/>
          <w:iCs/>
          <w:color w:val="000000" w:themeColor="text1"/>
        </w:rPr>
      </w:pPr>
      <w:r w:rsidRPr="00BD56DB">
        <w:rPr>
          <w:rFonts w:ascii="Arial" w:hAnsi="Arial" w:cs="Arial"/>
          <w:i/>
          <w:iCs/>
          <w:color w:val="000000" w:themeColor="text1"/>
        </w:rPr>
        <w:t>Příloha: aktuální nákupní ceny energií k případnému využití</w:t>
      </w:r>
    </w:p>
    <w:p w14:paraId="7596DF62" w14:textId="77777777" w:rsidR="00BD56DB" w:rsidRPr="00BD56DB" w:rsidRDefault="00BD56DB" w:rsidP="00BD56DB">
      <w:pPr>
        <w:rPr>
          <w:rFonts w:ascii="Arial" w:hAnsi="Arial" w:cs="Arial"/>
          <w:i/>
          <w:iCs/>
          <w:color w:val="000000" w:themeColor="text1"/>
        </w:rPr>
      </w:pPr>
      <w:hyperlink r:id="rId6" w:history="1">
        <w:r w:rsidRPr="00BD56DB">
          <w:rPr>
            <w:rStyle w:val="Hypertextovodkaz"/>
            <w:rFonts w:ascii="Arial" w:hAnsi="Arial" w:cs="Arial"/>
            <w:i/>
            <w:iCs/>
            <w:color w:val="000000" w:themeColor="text1"/>
          </w:rPr>
          <w:t>widget.setricelecesko.cz/</w:t>
        </w:r>
        <w:proofErr w:type="spellStart"/>
        <w:r w:rsidRPr="00BD56DB">
          <w:rPr>
            <w:rStyle w:val="Hypertextovodkaz"/>
            <w:rFonts w:ascii="Arial" w:hAnsi="Arial" w:cs="Arial"/>
            <w:i/>
            <w:iCs/>
            <w:color w:val="000000" w:themeColor="text1"/>
          </w:rPr>
          <w:t>energy</w:t>
        </w:r>
        <w:proofErr w:type="spellEnd"/>
        <w:r w:rsidRPr="00BD56DB">
          <w:rPr>
            <w:rStyle w:val="Hypertextovodkaz"/>
            <w:rFonts w:ascii="Arial" w:hAnsi="Arial" w:cs="Arial"/>
            <w:i/>
            <w:iCs/>
            <w:color w:val="000000" w:themeColor="text1"/>
          </w:rPr>
          <w:t>-market</w:t>
        </w:r>
      </w:hyperlink>
    </w:p>
    <w:p w14:paraId="3804B19B" w14:textId="77777777" w:rsidR="00BD56DB" w:rsidRPr="00BD56DB" w:rsidRDefault="00BD56DB" w:rsidP="00BD56DB">
      <w:pPr>
        <w:rPr>
          <w:rFonts w:ascii="Arial" w:hAnsi="Arial" w:cs="Arial"/>
          <w:i/>
          <w:iCs/>
          <w:color w:val="000000" w:themeColor="text1"/>
        </w:rPr>
      </w:pPr>
      <w:hyperlink r:id="rId7" w:history="1">
        <w:r w:rsidRPr="00BD56DB">
          <w:rPr>
            <w:rStyle w:val="Hypertextovodkaz"/>
            <w:rFonts w:ascii="Arial" w:hAnsi="Arial" w:cs="Arial"/>
            <w:i/>
            <w:iCs/>
            <w:color w:val="000000" w:themeColor="text1"/>
          </w:rPr>
          <w:t>widget.setricelecesko.cz/spot-market</w:t>
        </w:r>
      </w:hyperlink>
    </w:p>
    <w:p w14:paraId="2B6259A1" w14:textId="271E5CA7" w:rsidR="002A40F4" w:rsidRPr="00BD56DB" w:rsidRDefault="002A40F4" w:rsidP="002A40F4">
      <w:pPr>
        <w:rPr>
          <w:rFonts w:ascii="Arial" w:hAnsi="Arial" w:cs="Arial"/>
          <w:color w:val="000000" w:themeColor="text1"/>
        </w:rPr>
      </w:pPr>
    </w:p>
    <w:p w14:paraId="77152DD5" w14:textId="77777777" w:rsidR="002A40F4" w:rsidRPr="00BD56DB" w:rsidRDefault="002A40F4" w:rsidP="002A40F4">
      <w:pPr>
        <w:rPr>
          <w:rFonts w:ascii="Arial" w:hAnsi="Arial" w:cs="Arial"/>
          <w:i/>
          <w:iCs/>
          <w:color w:val="000000" w:themeColor="text1"/>
        </w:rPr>
      </w:pPr>
    </w:p>
    <w:p w14:paraId="62F07353" w14:textId="77777777" w:rsidR="00DA4CF8" w:rsidRPr="00BD56DB" w:rsidRDefault="00DA4CF8">
      <w:pPr>
        <w:rPr>
          <w:rFonts w:ascii="Arial" w:hAnsi="Arial" w:cs="Arial"/>
          <w:color w:val="000000" w:themeColor="text1"/>
        </w:rPr>
      </w:pPr>
    </w:p>
    <w:sectPr w:rsidR="00DA4CF8" w:rsidRPr="00BD56DB" w:rsidSect="002A40F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A5438" w14:textId="77777777" w:rsidR="00C95EE8" w:rsidRDefault="00C95EE8" w:rsidP="002A40F4">
      <w:r>
        <w:separator/>
      </w:r>
    </w:p>
  </w:endnote>
  <w:endnote w:type="continuationSeparator" w:id="0">
    <w:p w14:paraId="7ED375D6" w14:textId="77777777" w:rsidR="00C95EE8" w:rsidRDefault="00C95EE8" w:rsidP="002A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84105" w14:textId="77777777" w:rsidR="00C95EE8" w:rsidRDefault="00C95EE8" w:rsidP="002A40F4">
      <w:r>
        <w:separator/>
      </w:r>
    </w:p>
  </w:footnote>
  <w:footnote w:type="continuationSeparator" w:id="0">
    <w:p w14:paraId="7995EC7A" w14:textId="77777777" w:rsidR="00C95EE8" w:rsidRDefault="00C95EE8" w:rsidP="002A4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65636" w14:textId="0188D449" w:rsidR="002A40F4" w:rsidRDefault="002A40F4">
    <w:pPr>
      <w:pStyle w:val="Zhlav"/>
    </w:pPr>
  </w:p>
  <w:p w14:paraId="7CB61BD2" w14:textId="77777777" w:rsidR="002A40F4" w:rsidRDefault="002A40F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0F4"/>
    <w:rsid w:val="001735B4"/>
    <w:rsid w:val="00193F80"/>
    <w:rsid w:val="00203006"/>
    <w:rsid w:val="002A40F4"/>
    <w:rsid w:val="0043044F"/>
    <w:rsid w:val="004910A8"/>
    <w:rsid w:val="004A6749"/>
    <w:rsid w:val="004F52C3"/>
    <w:rsid w:val="0064396C"/>
    <w:rsid w:val="0083357E"/>
    <w:rsid w:val="00930B5E"/>
    <w:rsid w:val="00A5741F"/>
    <w:rsid w:val="00BD56DB"/>
    <w:rsid w:val="00BD6647"/>
    <w:rsid w:val="00C95EE8"/>
    <w:rsid w:val="00CB6E16"/>
    <w:rsid w:val="00DA425F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F98F9"/>
  <w15:chartTrackingRefBased/>
  <w15:docId w15:val="{64FD91C0-BC02-2C4E-81EC-437FCF16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A40F4"/>
    <w:rPr>
      <w:rFonts w:ascii="Calibri" w:hAnsi="Calibri" w:cs="Calibri"/>
      <w:sz w:val="22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A40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A40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A40F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A40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A40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A40F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A40F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A40F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A40F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A40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2A40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A40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A40F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A40F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A40F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A40F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A40F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A40F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A40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2A40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A40F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2A40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A40F4"/>
    <w:pPr>
      <w:spacing w:before="160" w:after="160"/>
      <w:jc w:val="center"/>
    </w:pPr>
    <w:rPr>
      <w:rFonts w:asciiTheme="minorHAnsi" w:hAnsiTheme="minorHAnsi" w:cstheme="minorBidi"/>
      <w:i/>
      <w:iCs/>
      <w:color w:val="404040" w:themeColor="text1" w:themeTint="BF"/>
      <w:sz w:val="24"/>
      <w:szCs w:val="24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2A40F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A40F4"/>
    <w:pPr>
      <w:ind w:left="720"/>
      <w:contextualSpacing/>
    </w:pPr>
    <w:rPr>
      <w:rFonts w:asciiTheme="minorHAnsi" w:hAnsiTheme="minorHAnsi" w:cstheme="minorBidi"/>
      <w:sz w:val="24"/>
      <w:szCs w:val="24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2A40F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A40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sz w:val="24"/>
      <w:szCs w:val="24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A40F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A40F4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2A40F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A40F4"/>
    <w:rPr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2A40F4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A40F4"/>
    <w:rPr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2A40F4"/>
    <w:rPr>
      <w:color w:val="467886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A40F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idget.setricelecesko.cz/spot-mark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idget.setricelecesko.cz/energy-mark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880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2026-10-21T12:41:00Z</dcterms:created>
  <dcterms:modified xsi:type="dcterms:W3CDTF">2026-10-21T12:41:00Z</dcterms:modified>
</cp:coreProperties>
</file>